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EC4" w:rsidRPr="00EF13D9" w:rsidRDefault="00E80EC4" w:rsidP="00E80EC4">
      <w:pPr>
        <w:pStyle w:val="Heading2"/>
        <w:spacing w:before="0" w:after="120"/>
        <w:jc w:val="center"/>
        <w:rPr>
          <w:rFonts w:ascii="Times New Roman" w:hAnsi="Times New Roman"/>
          <w:i/>
          <w:sz w:val="24"/>
          <w:szCs w:val="24"/>
        </w:rPr>
      </w:pPr>
      <w:r w:rsidRPr="00EF13D9">
        <w:rPr>
          <w:rFonts w:ascii="Times New Roman" w:hAnsi="Times New Roman"/>
          <w:i/>
          <w:sz w:val="24"/>
          <w:szCs w:val="24"/>
        </w:rPr>
        <w:t>Division of Statewide Planning</w:t>
      </w:r>
    </w:p>
    <w:p w:rsidR="00E80EC4" w:rsidRDefault="00E80EC4" w:rsidP="00E80EC4">
      <w:pPr>
        <w:pStyle w:val="Heading2"/>
        <w:spacing w:before="0"/>
        <w:jc w:val="center"/>
        <w:rPr>
          <w:sz w:val="32"/>
          <w:szCs w:val="32"/>
        </w:rPr>
      </w:pPr>
      <w:bookmarkStart w:id="0" w:name="_GoBack"/>
      <w:r>
        <w:rPr>
          <w:sz w:val="32"/>
          <w:szCs w:val="32"/>
        </w:rPr>
        <w:t xml:space="preserve">submittal of an </w:t>
      </w:r>
      <w:r w:rsidR="00170849">
        <w:rPr>
          <w:sz w:val="32"/>
          <w:szCs w:val="32"/>
        </w:rPr>
        <w:t xml:space="preserve">adopted </w:t>
      </w:r>
      <w:r w:rsidR="0038000E" w:rsidRPr="003434D9">
        <w:rPr>
          <w:sz w:val="32"/>
          <w:szCs w:val="32"/>
        </w:rPr>
        <w:t>comprehensive plan</w:t>
      </w:r>
    </w:p>
    <w:p w:rsidR="00991412" w:rsidRPr="003434D9" w:rsidRDefault="003434D9" w:rsidP="00E80EC4">
      <w:pPr>
        <w:pStyle w:val="Heading2"/>
        <w:spacing w:before="0" w:after="240"/>
        <w:jc w:val="center"/>
        <w:rPr>
          <w:sz w:val="32"/>
          <w:szCs w:val="32"/>
        </w:rPr>
      </w:pPr>
      <w:r w:rsidRPr="003434D9">
        <w:rPr>
          <w:sz w:val="32"/>
          <w:szCs w:val="32"/>
        </w:rPr>
        <w:t xml:space="preserve">or Plan Amendment </w:t>
      </w:r>
      <w:r w:rsidR="00E80EC4">
        <w:rPr>
          <w:sz w:val="32"/>
          <w:szCs w:val="32"/>
        </w:rPr>
        <w:t>for state review</w:t>
      </w:r>
    </w:p>
    <w:bookmarkEnd w:id="0"/>
    <w:p w:rsidR="003434D9" w:rsidRPr="00164ED4" w:rsidRDefault="003434D9" w:rsidP="003434D9">
      <w:pPr>
        <w:tabs>
          <w:tab w:val="left" w:pos="5040"/>
        </w:tabs>
        <w:spacing w:after="0"/>
        <w:rPr>
          <w:rFonts w:ascii="Times New Roman" w:hAnsi="Times New Roman" w:cs="Times New Roman"/>
          <w:sz w:val="24"/>
          <w:szCs w:val="24"/>
        </w:rPr>
      </w:pPr>
      <w:r w:rsidRPr="00D72C56">
        <w:rPr>
          <w:rFonts w:ascii="Arial" w:hAnsi="Arial" w:cs="Arial"/>
        </w:rPr>
        <w:t>Municipality:</w:t>
      </w:r>
      <w:r w:rsidR="00164ED4" w:rsidRPr="00164ED4">
        <w:rPr>
          <w:rFonts w:ascii="Times New Roman" w:hAnsi="Times New Roman" w:cs="Times New Roman"/>
          <w:sz w:val="24"/>
          <w:szCs w:val="24"/>
        </w:rPr>
        <w:t xml:space="preserve"> </w:t>
      </w:r>
      <w:r w:rsidRPr="00164ED4">
        <w:rPr>
          <w:rFonts w:ascii="Calibri" w:hAnsi="Calibri"/>
          <w:sz w:val="28"/>
          <w:szCs w:val="28"/>
        </w:rPr>
        <w:tab/>
      </w:r>
      <w:r w:rsidRPr="00D72C56">
        <w:rPr>
          <w:rFonts w:ascii="Arial" w:hAnsi="Arial" w:cs="Arial"/>
        </w:rPr>
        <w:t>Date of Submittal:</w:t>
      </w:r>
      <w:r w:rsidR="00164ED4" w:rsidRPr="00164ED4">
        <w:rPr>
          <w:rFonts w:ascii="Times New Roman" w:hAnsi="Times New Roman" w:cs="Times New Roman"/>
          <w:sz w:val="24"/>
          <w:szCs w:val="24"/>
        </w:rPr>
        <w:t xml:space="preserve"> </w:t>
      </w:r>
    </w:p>
    <w:p w:rsidR="003434D9" w:rsidRPr="00164ED4" w:rsidRDefault="003434D9" w:rsidP="003434D9">
      <w:pPr>
        <w:tabs>
          <w:tab w:val="left" w:pos="5040"/>
        </w:tabs>
        <w:spacing w:after="0"/>
        <w:rPr>
          <w:rFonts w:ascii="Times New Roman" w:hAnsi="Times New Roman" w:cs="Times New Roman"/>
          <w:sz w:val="24"/>
          <w:szCs w:val="24"/>
        </w:rPr>
      </w:pPr>
    </w:p>
    <w:p w:rsidR="0000102E" w:rsidRDefault="0000102E" w:rsidP="003434D9">
      <w:pPr>
        <w:pStyle w:val="Heading2"/>
        <w:spacing w:before="0" w:after="240"/>
      </w:pPr>
      <w:r>
        <w:t>contact information</w:t>
      </w:r>
    </w:p>
    <w:p w:rsidR="0000102E" w:rsidRPr="00164ED4" w:rsidRDefault="003434D9" w:rsidP="006E3EA2">
      <w:pPr>
        <w:tabs>
          <w:tab w:val="left" w:pos="5040"/>
        </w:tabs>
        <w:rPr>
          <w:rFonts w:ascii="Times New Roman" w:hAnsi="Times New Roman" w:cs="Times New Roman"/>
          <w:sz w:val="24"/>
          <w:szCs w:val="24"/>
        </w:rPr>
      </w:pPr>
      <w:r w:rsidRPr="00D72C56">
        <w:rPr>
          <w:rFonts w:ascii="Arial" w:hAnsi="Arial" w:cs="Arial"/>
        </w:rPr>
        <w:t>Name:</w:t>
      </w:r>
      <w:r w:rsidR="00D72C56">
        <w:rPr>
          <w:rFonts w:ascii="Times New Roman" w:hAnsi="Times New Roman" w:cs="Times New Roman"/>
          <w:sz w:val="24"/>
          <w:szCs w:val="24"/>
        </w:rPr>
        <w:t xml:space="preserve"> </w:t>
      </w:r>
      <w:r w:rsidRPr="00164ED4">
        <w:rPr>
          <w:rFonts w:ascii="Times New Roman" w:hAnsi="Times New Roman" w:cs="Times New Roman"/>
          <w:sz w:val="24"/>
          <w:szCs w:val="24"/>
        </w:rPr>
        <w:tab/>
      </w:r>
      <w:r w:rsidRPr="00D72C56">
        <w:rPr>
          <w:rFonts w:ascii="Arial" w:hAnsi="Arial" w:cs="Arial"/>
        </w:rPr>
        <w:t>Title:</w:t>
      </w:r>
      <w:r w:rsidR="00164ED4" w:rsidRPr="00164ED4">
        <w:rPr>
          <w:rFonts w:ascii="Times New Roman" w:hAnsi="Times New Roman" w:cs="Times New Roman"/>
          <w:sz w:val="24"/>
          <w:szCs w:val="24"/>
        </w:rPr>
        <w:t xml:space="preserve"> </w:t>
      </w:r>
    </w:p>
    <w:p w:rsidR="003434D9" w:rsidRPr="00D72C56" w:rsidRDefault="003434D9" w:rsidP="00164ED4">
      <w:pPr>
        <w:tabs>
          <w:tab w:val="left" w:pos="5040"/>
        </w:tabs>
        <w:rPr>
          <w:rFonts w:ascii="Times New Roman" w:hAnsi="Times New Roman" w:cs="Times New Roman"/>
          <w:sz w:val="24"/>
          <w:szCs w:val="24"/>
        </w:rPr>
      </w:pPr>
      <w:r w:rsidRPr="00D72C56">
        <w:rPr>
          <w:rFonts w:ascii="Arial" w:hAnsi="Arial" w:cs="Arial"/>
        </w:rPr>
        <w:t>Email:</w:t>
      </w:r>
      <w:r w:rsidR="00164ED4" w:rsidRPr="00D72C56">
        <w:rPr>
          <w:rFonts w:ascii="Times New Roman" w:hAnsi="Times New Roman" w:cs="Times New Roman"/>
          <w:sz w:val="24"/>
        </w:rPr>
        <w:t xml:space="preserve"> </w:t>
      </w:r>
    </w:p>
    <w:p w:rsidR="00B46C61" w:rsidRDefault="00B46C61" w:rsidP="00D72C56">
      <w:pPr>
        <w:tabs>
          <w:tab w:val="left" w:pos="5040"/>
        </w:tabs>
        <w:spacing w:after="0"/>
        <w:rPr>
          <w:rFonts w:ascii="Times New Roman" w:hAnsi="Times New Roman" w:cs="Times New Roman"/>
          <w:sz w:val="24"/>
          <w:szCs w:val="24"/>
        </w:rPr>
      </w:pPr>
      <w:r w:rsidRPr="00D72C56">
        <w:rPr>
          <w:rFonts w:ascii="Arial" w:hAnsi="Arial" w:cs="Arial"/>
        </w:rPr>
        <w:t>Address</w:t>
      </w:r>
      <w:r w:rsidR="003434D9" w:rsidRPr="00D72C56">
        <w:rPr>
          <w:rFonts w:ascii="Arial" w:hAnsi="Arial" w:cs="Arial"/>
        </w:rPr>
        <w:t>:</w:t>
      </w:r>
      <w:r w:rsidR="003434D9" w:rsidRPr="00164ED4">
        <w:rPr>
          <w:rFonts w:ascii="Times New Roman" w:hAnsi="Times New Roman" w:cs="Times New Roman"/>
          <w:sz w:val="24"/>
          <w:szCs w:val="28"/>
        </w:rPr>
        <w:tab/>
      </w:r>
      <w:r w:rsidR="003434D9" w:rsidRPr="00D72C56">
        <w:rPr>
          <w:rFonts w:ascii="Arial" w:hAnsi="Arial" w:cs="Arial"/>
        </w:rPr>
        <w:t>Phone</w:t>
      </w:r>
      <w:r w:rsidR="006E3EA2" w:rsidRPr="00D72C56">
        <w:rPr>
          <w:rFonts w:ascii="Arial" w:hAnsi="Arial" w:cs="Arial"/>
        </w:rPr>
        <w:t>:</w:t>
      </w:r>
      <w:r w:rsidR="00164ED4" w:rsidRPr="00164ED4">
        <w:rPr>
          <w:rFonts w:ascii="Times New Roman" w:hAnsi="Times New Roman" w:cs="Times New Roman"/>
          <w:sz w:val="24"/>
          <w:szCs w:val="24"/>
        </w:rPr>
        <w:t xml:space="preserve"> </w:t>
      </w:r>
    </w:p>
    <w:p w:rsidR="00D72C56" w:rsidRDefault="00D72C56" w:rsidP="00D72C56">
      <w:pPr>
        <w:tabs>
          <w:tab w:val="left" w:pos="5040"/>
        </w:tabs>
        <w:spacing w:after="0"/>
        <w:rPr>
          <w:rFonts w:ascii="Times New Roman" w:hAnsi="Times New Roman" w:cs="Times New Roman"/>
          <w:sz w:val="24"/>
          <w:szCs w:val="24"/>
        </w:rPr>
      </w:pPr>
    </w:p>
    <w:p w:rsidR="00D72C56" w:rsidRDefault="00D72C56" w:rsidP="00D72C56">
      <w:pPr>
        <w:tabs>
          <w:tab w:val="left" w:pos="5040"/>
        </w:tabs>
        <w:spacing w:after="0"/>
        <w:rPr>
          <w:rFonts w:ascii="Times New Roman" w:hAnsi="Times New Roman" w:cs="Times New Roman"/>
          <w:sz w:val="24"/>
          <w:szCs w:val="24"/>
        </w:rPr>
      </w:pPr>
    </w:p>
    <w:p w:rsidR="00D72C56" w:rsidRDefault="00D72C56" w:rsidP="00D72C56">
      <w:pPr>
        <w:tabs>
          <w:tab w:val="left" w:pos="5040"/>
        </w:tabs>
        <w:spacing w:after="0"/>
        <w:rPr>
          <w:rFonts w:ascii="Times New Roman" w:hAnsi="Times New Roman" w:cs="Times New Roman"/>
          <w:sz w:val="24"/>
          <w:szCs w:val="24"/>
        </w:rPr>
      </w:pPr>
    </w:p>
    <w:p w:rsidR="00DD5791" w:rsidRPr="00164ED4" w:rsidRDefault="00DD5791" w:rsidP="00D72C56">
      <w:pPr>
        <w:tabs>
          <w:tab w:val="left" w:pos="5040"/>
        </w:tabs>
        <w:spacing w:after="0"/>
        <w:rPr>
          <w:rFonts w:ascii="Times New Roman" w:hAnsi="Times New Roman" w:cs="Times New Roman"/>
          <w:sz w:val="24"/>
          <w:szCs w:val="24"/>
        </w:rPr>
      </w:pPr>
    </w:p>
    <w:p w:rsidR="00D72C56" w:rsidRPr="00F71B18" w:rsidRDefault="00D72C56" w:rsidP="00D72C56">
      <w:pPr>
        <w:pStyle w:val="Heading2"/>
        <w:spacing w:before="0" w:after="240" w:line="240" w:lineRule="auto"/>
      </w:pPr>
      <w:r>
        <w:t xml:space="preserve">materials to be reviewed </w:t>
      </w:r>
      <w:r w:rsidRPr="007A5C8E">
        <w:rPr>
          <w:b w:val="0"/>
          <w:caps w:val="0"/>
          <w:sz w:val="24"/>
          <w:szCs w:val="24"/>
        </w:rPr>
        <w:t>(select one)</w:t>
      </w:r>
    </w:p>
    <w:p w:rsidR="00D72C56" w:rsidRDefault="00D72C56" w:rsidP="00295377">
      <w:pPr>
        <w:spacing w:after="0" w:line="240" w:lineRule="auto"/>
        <w:jc w:val="both"/>
        <w:rPr>
          <w:rFonts w:ascii="Times New Roman" w:hAnsi="Times New Roman" w:cs="Times New Roman"/>
          <w:iCs/>
          <w:sz w:val="24"/>
          <w:szCs w:val="24"/>
        </w:rPr>
      </w:pPr>
      <w:r w:rsidRPr="00B50C58">
        <w:rPr>
          <w:rFonts w:ascii="Times New Roman" w:hAnsi="Times New Roman" w:cs="Times New Roman"/>
          <w:sz w:val="28"/>
          <w:szCs w:val="28"/>
        </w:rPr>
        <w:sym w:font="Wingdings" w:char="F0A8"/>
      </w:r>
      <w:r>
        <w:rPr>
          <w:rFonts w:ascii="Times New Roman" w:hAnsi="Times New Roman" w:cs="Times New Roman"/>
          <w:sz w:val="24"/>
          <w:szCs w:val="24"/>
        </w:rPr>
        <w:t xml:space="preserve"> A fully updated and adopted</w:t>
      </w:r>
      <w:r w:rsidRPr="00B50C58">
        <w:rPr>
          <w:rFonts w:ascii="Times New Roman" w:hAnsi="Times New Roman" w:cs="Times New Roman"/>
          <w:sz w:val="24"/>
          <w:szCs w:val="24"/>
        </w:rPr>
        <w:t xml:space="preserve"> comprehensive plan</w:t>
      </w:r>
      <w:r w:rsidR="00295377">
        <w:rPr>
          <w:rFonts w:ascii="Times New Roman" w:hAnsi="Times New Roman" w:cs="Times New Roman"/>
          <w:sz w:val="24"/>
          <w:szCs w:val="24"/>
        </w:rPr>
        <w:t xml:space="preserve"> </w:t>
      </w:r>
      <w:r w:rsidRPr="000A2016">
        <w:rPr>
          <w:rFonts w:ascii="Times New Roman" w:hAnsi="Times New Roman" w:cs="Times New Roman"/>
          <w:i/>
          <w:sz w:val="24"/>
          <w:szCs w:val="24"/>
        </w:rPr>
        <w:t>(as required by RIGL 45-22.2-12(b))</w:t>
      </w:r>
    </w:p>
    <w:p w:rsidR="00295377" w:rsidRPr="00295377" w:rsidRDefault="00295377" w:rsidP="00295377">
      <w:pPr>
        <w:spacing w:after="0" w:line="240" w:lineRule="auto"/>
        <w:jc w:val="both"/>
        <w:rPr>
          <w:rFonts w:ascii="Times New Roman" w:hAnsi="Times New Roman" w:cs="Times New Roman"/>
          <w:iCs/>
          <w:sz w:val="24"/>
          <w:szCs w:val="24"/>
        </w:rPr>
      </w:pPr>
    </w:p>
    <w:p w:rsidR="00D72C56" w:rsidRPr="00B50C58" w:rsidRDefault="00D72C56" w:rsidP="00295377">
      <w:pPr>
        <w:spacing w:after="0"/>
        <w:jc w:val="both"/>
        <w:rPr>
          <w:rFonts w:ascii="Times New Roman" w:hAnsi="Times New Roman" w:cs="Times New Roman"/>
          <w:sz w:val="24"/>
          <w:szCs w:val="24"/>
        </w:rPr>
      </w:pPr>
      <w:r w:rsidRPr="00B50C58">
        <w:rPr>
          <w:rFonts w:ascii="Times New Roman" w:hAnsi="Times New Roman" w:cs="Times New Roman"/>
          <w:sz w:val="28"/>
          <w:szCs w:val="28"/>
        </w:rPr>
        <w:sym w:font="Wingdings" w:char="F0A8"/>
      </w:r>
      <w:r>
        <w:rPr>
          <w:rFonts w:ascii="Times New Roman" w:hAnsi="Times New Roman" w:cs="Times New Roman"/>
          <w:sz w:val="24"/>
          <w:szCs w:val="24"/>
        </w:rPr>
        <w:t xml:space="preserve"> C</w:t>
      </w:r>
      <w:r w:rsidRPr="00B50C58">
        <w:rPr>
          <w:rFonts w:ascii="Times New Roman" w:hAnsi="Times New Roman" w:cs="Times New Roman"/>
          <w:sz w:val="24"/>
          <w:szCs w:val="24"/>
        </w:rPr>
        <w:t>omprehensive plan amendment</w:t>
      </w:r>
      <w:r>
        <w:rPr>
          <w:rFonts w:ascii="Times New Roman" w:hAnsi="Times New Roman" w:cs="Times New Roman"/>
          <w:sz w:val="24"/>
          <w:szCs w:val="24"/>
        </w:rPr>
        <w:t>(</w:t>
      </w:r>
      <w:r w:rsidRPr="00B50C58">
        <w:rPr>
          <w:rFonts w:ascii="Times New Roman" w:hAnsi="Times New Roman" w:cs="Times New Roman"/>
          <w:sz w:val="24"/>
          <w:szCs w:val="24"/>
        </w:rPr>
        <w:t>s</w:t>
      </w:r>
      <w:r>
        <w:rPr>
          <w:rFonts w:ascii="Times New Roman" w:hAnsi="Times New Roman" w:cs="Times New Roman"/>
          <w:sz w:val="24"/>
          <w:szCs w:val="24"/>
        </w:rPr>
        <w:t>)</w:t>
      </w:r>
      <w:r w:rsidR="00295377">
        <w:rPr>
          <w:rFonts w:ascii="Times New Roman" w:hAnsi="Times New Roman" w:cs="Times New Roman"/>
          <w:sz w:val="24"/>
          <w:szCs w:val="24"/>
        </w:rPr>
        <w:t xml:space="preserve">  If amendment, complete the following:</w:t>
      </w:r>
    </w:p>
    <w:p w:rsidR="00D72C56" w:rsidRPr="00E561CA" w:rsidRDefault="00D72C56" w:rsidP="00D72C56">
      <w:pPr>
        <w:spacing w:after="0"/>
        <w:jc w:val="both"/>
        <w:rPr>
          <w:rFonts w:ascii="Times New Roman" w:hAnsi="Times New Roman" w:cs="Times New Roman"/>
          <w:sz w:val="24"/>
        </w:rPr>
      </w:pPr>
    </w:p>
    <w:p w:rsidR="00442F84" w:rsidRPr="00D47B24" w:rsidRDefault="00D47B24" w:rsidP="00035552">
      <w:pPr>
        <w:jc w:val="both"/>
        <w:rPr>
          <w:rFonts w:ascii="Times New Roman" w:hAnsi="Times New Roman" w:cs="Times New Roman"/>
          <w:sz w:val="24"/>
          <w:szCs w:val="24"/>
        </w:rPr>
      </w:pPr>
      <w:r>
        <w:rPr>
          <w:rFonts w:ascii="Arial" w:hAnsi="Arial" w:cs="Arial"/>
          <w:b/>
        </w:rPr>
        <w:t>Amendment title:</w:t>
      </w:r>
      <w:r>
        <w:rPr>
          <w:rFonts w:ascii="Times New Roman" w:hAnsi="Times New Roman" w:cs="Times New Roman"/>
          <w:sz w:val="24"/>
          <w:szCs w:val="24"/>
        </w:rPr>
        <w:t xml:space="preserve"> </w:t>
      </w:r>
    </w:p>
    <w:p w:rsidR="001B6353" w:rsidRPr="00771AE3" w:rsidRDefault="001B6353" w:rsidP="001B6353">
      <w:pPr>
        <w:spacing w:after="80"/>
        <w:jc w:val="both"/>
        <w:rPr>
          <w:rFonts w:ascii="Arial" w:hAnsi="Arial" w:cs="Arial"/>
        </w:rPr>
      </w:pPr>
      <w:r w:rsidRPr="00771AE3">
        <w:rPr>
          <w:rFonts w:ascii="Arial" w:hAnsi="Arial" w:cs="Arial"/>
          <w:b/>
        </w:rPr>
        <w:t xml:space="preserve">List all Plan chapters/elements </w:t>
      </w:r>
      <w:r>
        <w:rPr>
          <w:rFonts w:ascii="Arial" w:hAnsi="Arial" w:cs="Arial"/>
          <w:b/>
        </w:rPr>
        <w:t>in which an a</w:t>
      </w:r>
      <w:r w:rsidRPr="00771AE3">
        <w:rPr>
          <w:rFonts w:ascii="Arial" w:hAnsi="Arial" w:cs="Arial"/>
          <w:b/>
        </w:rPr>
        <w:t>mendment w</w:t>
      </w:r>
      <w:r>
        <w:rPr>
          <w:rFonts w:ascii="Arial" w:hAnsi="Arial" w:cs="Arial"/>
          <w:b/>
        </w:rPr>
        <w:t xml:space="preserve">as </w:t>
      </w:r>
      <w:r w:rsidRPr="00771AE3">
        <w:rPr>
          <w:rFonts w:ascii="Arial" w:hAnsi="Arial" w:cs="Arial"/>
          <w:b/>
        </w:rPr>
        <w:t>made:</w:t>
      </w:r>
      <w:r w:rsidRPr="00771AE3">
        <w:rPr>
          <w:rFonts w:ascii="Arial" w:hAnsi="Arial" w:cs="Arial"/>
        </w:rPr>
        <w:t xml:space="preserve"> </w:t>
      </w:r>
    </w:p>
    <w:p w:rsidR="001B6353" w:rsidRPr="001456A6" w:rsidRDefault="001B6353" w:rsidP="001B6353">
      <w:pPr>
        <w:tabs>
          <w:tab w:val="right" w:pos="9180"/>
        </w:tabs>
        <w:spacing w:after="80"/>
        <w:jc w:val="both"/>
        <w:rPr>
          <w:rFonts w:ascii="Times New Roman" w:hAnsi="Times New Roman" w:cs="Times New Roman"/>
        </w:rPr>
      </w:pPr>
      <w:r w:rsidRPr="001456A6">
        <w:rPr>
          <w:rFonts w:ascii="Times New Roman" w:hAnsi="Times New Roman" w:cs="Times New Roman"/>
          <w:sz w:val="24"/>
          <w:u w:val="single"/>
        </w:rPr>
        <w:tab/>
      </w:r>
    </w:p>
    <w:p w:rsidR="001B6353" w:rsidRPr="001456A6" w:rsidRDefault="001B6353" w:rsidP="001B6353">
      <w:pPr>
        <w:tabs>
          <w:tab w:val="right" w:pos="9180"/>
        </w:tabs>
        <w:spacing w:after="80"/>
        <w:jc w:val="both"/>
        <w:rPr>
          <w:rFonts w:ascii="Times New Roman" w:hAnsi="Times New Roman" w:cs="Times New Roman"/>
          <w:sz w:val="24"/>
        </w:rPr>
      </w:pPr>
      <w:bookmarkStart w:id="1" w:name="_Hlk9330451"/>
      <w:r w:rsidRPr="001456A6">
        <w:rPr>
          <w:rFonts w:ascii="Times New Roman" w:hAnsi="Times New Roman" w:cs="Times New Roman"/>
          <w:sz w:val="24"/>
          <w:u w:val="single"/>
        </w:rPr>
        <w:tab/>
      </w:r>
    </w:p>
    <w:bookmarkEnd w:id="1"/>
    <w:p w:rsidR="00483025" w:rsidRPr="001456A6" w:rsidRDefault="00483025" w:rsidP="00483025">
      <w:pPr>
        <w:tabs>
          <w:tab w:val="right" w:pos="9180"/>
        </w:tabs>
        <w:spacing w:after="80"/>
        <w:jc w:val="both"/>
        <w:rPr>
          <w:rFonts w:ascii="Times New Roman" w:hAnsi="Times New Roman" w:cs="Times New Roman"/>
          <w:sz w:val="24"/>
        </w:rPr>
      </w:pPr>
      <w:r w:rsidRPr="001456A6">
        <w:rPr>
          <w:rFonts w:ascii="Times New Roman" w:hAnsi="Times New Roman" w:cs="Times New Roman"/>
          <w:sz w:val="24"/>
          <w:u w:val="single"/>
        </w:rPr>
        <w:tab/>
      </w:r>
    </w:p>
    <w:p w:rsidR="001B6353" w:rsidRPr="001456A6" w:rsidRDefault="001B6353" w:rsidP="001B6353">
      <w:pPr>
        <w:tabs>
          <w:tab w:val="right" w:pos="9180"/>
        </w:tabs>
        <w:spacing w:after="0"/>
        <w:jc w:val="both"/>
        <w:rPr>
          <w:rFonts w:ascii="Times New Roman" w:hAnsi="Times New Roman" w:cs="Times New Roman"/>
          <w:sz w:val="24"/>
        </w:rPr>
      </w:pPr>
      <w:r w:rsidRPr="001456A6">
        <w:rPr>
          <w:rFonts w:ascii="Times New Roman" w:hAnsi="Times New Roman" w:cs="Times New Roman"/>
          <w:sz w:val="24"/>
          <w:u w:val="single"/>
        </w:rPr>
        <w:tab/>
      </w:r>
    </w:p>
    <w:p w:rsidR="00324B63" w:rsidRPr="00D47B24" w:rsidRDefault="00324B63" w:rsidP="00483025">
      <w:pPr>
        <w:spacing w:after="0"/>
        <w:jc w:val="both"/>
        <w:rPr>
          <w:rFonts w:ascii="Times New Roman" w:hAnsi="Times New Roman" w:cs="Times New Roman"/>
          <w:sz w:val="24"/>
        </w:rPr>
      </w:pPr>
    </w:p>
    <w:p w:rsidR="00324B63" w:rsidRPr="00E561CA" w:rsidRDefault="00E561CA" w:rsidP="00E561CA">
      <w:pPr>
        <w:spacing w:after="80"/>
        <w:jc w:val="both"/>
        <w:rPr>
          <w:rFonts w:ascii="Arial" w:hAnsi="Arial" w:cs="Arial"/>
          <w:b/>
        </w:rPr>
      </w:pPr>
      <w:r>
        <w:rPr>
          <w:rFonts w:ascii="Arial" w:hAnsi="Arial" w:cs="Arial"/>
          <w:b/>
        </w:rPr>
        <w:t xml:space="preserve">Provide a general summary of the amendment(s) to assist in the review </w:t>
      </w:r>
      <w:r w:rsidRPr="00E561CA">
        <w:rPr>
          <w:rFonts w:ascii="Arial" w:hAnsi="Arial" w:cs="Arial"/>
        </w:rPr>
        <w:t>(attach another sheet if necessary)</w:t>
      </w:r>
      <w:r>
        <w:rPr>
          <w:rFonts w:ascii="Arial" w:hAnsi="Arial" w:cs="Arial"/>
          <w:b/>
        </w:rPr>
        <w:t>:</w:t>
      </w:r>
    </w:p>
    <w:p w:rsidR="00324B63" w:rsidRDefault="00324B63"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92DEC" w:rsidRDefault="00C92DEC" w:rsidP="00483025">
      <w:pPr>
        <w:spacing w:after="0"/>
        <w:jc w:val="both"/>
        <w:rPr>
          <w:rFonts w:ascii="Times New Roman" w:hAnsi="Times New Roman" w:cs="Times New Roman"/>
          <w:sz w:val="24"/>
        </w:rPr>
      </w:pPr>
    </w:p>
    <w:p w:rsidR="00CB38D9" w:rsidRPr="006E3EA2" w:rsidRDefault="00CB38D9" w:rsidP="00B84197">
      <w:pPr>
        <w:pStyle w:val="Heading2"/>
        <w:spacing w:before="0" w:after="120"/>
        <w:rPr>
          <w:b w:val="0"/>
        </w:rPr>
      </w:pPr>
      <w:r>
        <w:lastRenderedPageBreak/>
        <w:t>submission requirements and checklist</w:t>
      </w:r>
    </w:p>
    <w:p w:rsidR="00CB38D9" w:rsidRPr="00AE1D37" w:rsidRDefault="00CB38D9" w:rsidP="00CB2BE4">
      <w:pPr>
        <w:pStyle w:val="ListParagraph"/>
        <w:numPr>
          <w:ilvl w:val="0"/>
          <w:numId w:val="9"/>
        </w:numPr>
        <w:spacing w:after="0"/>
        <w:ind w:right="-360"/>
        <w:contextualSpacing w:val="0"/>
        <w:rPr>
          <w:rFonts w:ascii="Times New Roman" w:hAnsi="Times New Roman" w:cs="Times New Roman"/>
          <w:sz w:val="24"/>
          <w:szCs w:val="24"/>
        </w:rPr>
      </w:pPr>
      <w:r w:rsidRPr="00AE1D37">
        <w:rPr>
          <w:rFonts w:ascii="Times New Roman" w:hAnsi="Times New Roman" w:cs="Times New Roman"/>
          <w:sz w:val="24"/>
          <w:szCs w:val="24"/>
        </w:rPr>
        <w:t xml:space="preserve">One electronic copy of the </w:t>
      </w:r>
      <w:r>
        <w:rPr>
          <w:rFonts w:ascii="Times New Roman" w:hAnsi="Times New Roman" w:cs="Times New Roman"/>
          <w:sz w:val="24"/>
          <w:szCs w:val="24"/>
        </w:rPr>
        <w:t>plan or amendment</w:t>
      </w:r>
      <w:r w:rsidRPr="00AE1D37">
        <w:rPr>
          <w:rFonts w:ascii="Times New Roman" w:hAnsi="Times New Roman" w:cs="Times New Roman"/>
          <w:sz w:val="24"/>
          <w:szCs w:val="24"/>
        </w:rPr>
        <w:t xml:space="preserve"> </w:t>
      </w:r>
      <w:r w:rsidRPr="00164ED4">
        <w:rPr>
          <w:rFonts w:ascii="Times New Roman" w:hAnsi="Times New Roman" w:cs="Times New Roman"/>
          <w:i/>
          <w:sz w:val="24"/>
          <w:szCs w:val="24"/>
        </w:rPr>
        <w:t xml:space="preserve">(in one of the following formats: </w:t>
      </w:r>
      <w:r>
        <w:rPr>
          <w:rFonts w:ascii="Times New Roman" w:hAnsi="Times New Roman" w:cs="Times New Roman"/>
          <w:i/>
          <w:sz w:val="24"/>
          <w:szCs w:val="24"/>
        </w:rPr>
        <w:t>.</w:t>
      </w:r>
      <w:r w:rsidRPr="00164ED4">
        <w:rPr>
          <w:rFonts w:ascii="Times New Roman" w:hAnsi="Times New Roman" w:cs="Times New Roman"/>
          <w:i/>
          <w:sz w:val="24"/>
          <w:szCs w:val="24"/>
        </w:rPr>
        <w:t xml:space="preserve">doc, </w:t>
      </w:r>
      <w:r>
        <w:rPr>
          <w:rFonts w:ascii="Times New Roman" w:hAnsi="Times New Roman" w:cs="Times New Roman"/>
          <w:i/>
          <w:sz w:val="24"/>
          <w:szCs w:val="24"/>
        </w:rPr>
        <w:t>.</w:t>
      </w:r>
      <w:r w:rsidRPr="00164ED4">
        <w:rPr>
          <w:rFonts w:ascii="Times New Roman" w:hAnsi="Times New Roman" w:cs="Times New Roman"/>
          <w:i/>
          <w:sz w:val="24"/>
          <w:szCs w:val="24"/>
        </w:rPr>
        <w:t xml:space="preserve">pdf, </w:t>
      </w:r>
      <w:r>
        <w:rPr>
          <w:rFonts w:ascii="Times New Roman" w:hAnsi="Times New Roman" w:cs="Times New Roman"/>
          <w:i/>
          <w:sz w:val="24"/>
          <w:szCs w:val="24"/>
        </w:rPr>
        <w:t>.</w:t>
      </w:r>
      <w:r w:rsidRPr="00164ED4">
        <w:rPr>
          <w:rFonts w:ascii="Times New Roman" w:hAnsi="Times New Roman" w:cs="Times New Roman"/>
          <w:i/>
          <w:sz w:val="24"/>
          <w:szCs w:val="24"/>
        </w:rPr>
        <w:t>pub)</w:t>
      </w:r>
    </w:p>
    <w:p w:rsidR="00CB38D9" w:rsidRPr="00B50C58" w:rsidRDefault="00CB38D9" w:rsidP="00CB2BE4">
      <w:pPr>
        <w:pStyle w:val="ListParagraph"/>
        <w:numPr>
          <w:ilvl w:val="0"/>
          <w:numId w:val="9"/>
        </w:numPr>
        <w:spacing w:after="0"/>
        <w:contextualSpacing w:val="0"/>
        <w:jc w:val="both"/>
        <w:rPr>
          <w:rFonts w:ascii="Times New Roman" w:hAnsi="Times New Roman" w:cs="Times New Roman"/>
          <w:sz w:val="24"/>
          <w:szCs w:val="24"/>
        </w:rPr>
      </w:pPr>
      <w:r w:rsidRPr="00B50C58">
        <w:rPr>
          <w:rFonts w:ascii="Times New Roman" w:hAnsi="Times New Roman" w:cs="Times New Roman"/>
          <w:sz w:val="24"/>
          <w:szCs w:val="24"/>
        </w:rPr>
        <w:t>T</w:t>
      </w:r>
      <w:r>
        <w:rPr>
          <w:rFonts w:ascii="Times New Roman" w:hAnsi="Times New Roman" w:cs="Times New Roman"/>
          <w:sz w:val="24"/>
          <w:szCs w:val="24"/>
        </w:rPr>
        <w:t>wo</w:t>
      </w:r>
      <w:r w:rsidRPr="00B50C58">
        <w:rPr>
          <w:rFonts w:ascii="Times New Roman" w:hAnsi="Times New Roman" w:cs="Times New Roman"/>
          <w:sz w:val="24"/>
          <w:szCs w:val="24"/>
        </w:rPr>
        <w:t xml:space="preserve"> (</w:t>
      </w:r>
      <w:r>
        <w:rPr>
          <w:rFonts w:ascii="Times New Roman" w:hAnsi="Times New Roman" w:cs="Times New Roman"/>
          <w:sz w:val="24"/>
          <w:szCs w:val="24"/>
        </w:rPr>
        <w:t>2</w:t>
      </w:r>
      <w:r w:rsidRPr="00B50C58">
        <w:rPr>
          <w:rFonts w:ascii="Times New Roman" w:hAnsi="Times New Roman" w:cs="Times New Roman"/>
          <w:sz w:val="24"/>
          <w:szCs w:val="24"/>
        </w:rPr>
        <w:t xml:space="preserve">) paper copies of the </w:t>
      </w:r>
      <w:r>
        <w:rPr>
          <w:rFonts w:ascii="Times New Roman" w:hAnsi="Times New Roman" w:cs="Times New Roman"/>
          <w:sz w:val="24"/>
          <w:szCs w:val="24"/>
        </w:rPr>
        <w:t>plan or amendment</w:t>
      </w:r>
      <w:r w:rsidRPr="00AE1D37">
        <w:rPr>
          <w:rFonts w:ascii="Times New Roman" w:hAnsi="Times New Roman" w:cs="Times New Roman"/>
          <w:sz w:val="24"/>
          <w:szCs w:val="24"/>
        </w:rPr>
        <w:t xml:space="preserve"> </w:t>
      </w:r>
      <w:r w:rsidRPr="00B50C58">
        <w:rPr>
          <w:rFonts w:ascii="Times New Roman" w:hAnsi="Times New Roman" w:cs="Times New Roman"/>
          <w:i/>
          <w:sz w:val="24"/>
          <w:szCs w:val="24"/>
        </w:rPr>
        <w:t>(3-hole punched or unbound preferred)</w:t>
      </w:r>
    </w:p>
    <w:p w:rsidR="00CB38D9" w:rsidRDefault="00CB38D9" w:rsidP="00CB2BE4">
      <w:pPr>
        <w:pStyle w:val="ListParagraph"/>
        <w:numPr>
          <w:ilvl w:val="0"/>
          <w:numId w:val="9"/>
        </w:numPr>
        <w:spacing w:after="0"/>
        <w:contextualSpacing w:val="0"/>
        <w:jc w:val="both"/>
        <w:rPr>
          <w:rFonts w:ascii="Times New Roman" w:hAnsi="Times New Roman" w:cs="Times New Roman"/>
          <w:sz w:val="24"/>
          <w:szCs w:val="24"/>
        </w:rPr>
      </w:pPr>
      <w:r w:rsidRPr="00E35B0D">
        <w:rPr>
          <w:rFonts w:ascii="Times New Roman" w:hAnsi="Times New Roman" w:cs="Times New Roman"/>
          <w:sz w:val="24"/>
          <w:szCs w:val="24"/>
        </w:rPr>
        <w:t>Planning Board/Commission minutes showing approval and recommendation to the City/Town</w:t>
      </w:r>
      <w:r>
        <w:rPr>
          <w:rFonts w:ascii="Times New Roman" w:hAnsi="Times New Roman" w:cs="Times New Roman"/>
          <w:sz w:val="24"/>
          <w:szCs w:val="24"/>
        </w:rPr>
        <w:t xml:space="preserve"> </w:t>
      </w:r>
      <w:r w:rsidRPr="00E35B0D">
        <w:rPr>
          <w:rFonts w:ascii="Times New Roman" w:hAnsi="Times New Roman" w:cs="Times New Roman"/>
          <w:sz w:val="24"/>
          <w:szCs w:val="24"/>
        </w:rPr>
        <w:t>Council</w:t>
      </w:r>
    </w:p>
    <w:p w:rsidR="00CB38D9" w:rsidRPr="00E35B0D" w:rsidRDefault="00CB38D9" w:rsidP="00CB2BE4">
      <w:pPr>
        <w:pStyle w:val="ListParagraph"/>
        <w:numPr>
          <w:ilvl w:val="0"/>
          <w:numId w:val="9"/>
        </w:numPr>
        <w:spacing w:after="0"/>
        <w:contextualSpacing w:val="0"/>
        <w:jc w:val="both"/>
        <w:rPr>
          <w:rFonts w:ascii="Times New Roman" w:hAnsi="Times New Roman" w:cs="Times New Roman"/>
          <w:sz w:val="24"/>
          <w:szCs w:val="24"/>
        </w:rPr>
      </w:pPr>
      <w:r w:rsidRPr="00E35B0D">
        <w:rPr>
          <w:rFonts w:ascii="Times New Roman" w:hAnsi="Times New Roman" w:cs="Times New Roman"/>
          <w:sz w:val="24"/>
          <w:szCs w:val="24"/>
        </w:rPr>
        <w:t>City/Town Council minutes showing adoption of the comprehensive plan</w:t>
      </w:r>
    </w:p>
    <w:p w:rsidR="00CB38D9" w:rsidRPr="00E35B0D" w:rsidRDefault="00CB38D9" w:rsidP="00CB2BE4">
      <w:pPr>
        <w:pStyle w:val="ListParagraph"/>
        <w:numPr>
          <w:ilvl w:val="0"/>
          <w:numId w:val="9"/>
        </w:numPr>
        <w:spacing w:after="0"/>
        <w:contextualSpacing w:val="0"/>
        <w:jc w:val="both"/>
        <w:rPr>
          <w:rFonts w:ascii="Times New Roman" w:hAnsi="Times New Roman" w:cs="Times New Roman"/>
          <w:sz w:val="24"/>
          <w:szCs w:val="24"/>
        </w:rPr>
      </w:pPr>
      <w:r w:rsidRPr="00E35B0D">
        <w:rPr>
          <w:rFonts w:ascii="Times New Roman" w:hAnsi="Times New Roman" w:cs="Times New Roman"/>
          <w:sz w:val="24"/>
          <w:szCs w:val="24"/>
        </w:rPr>
        <w:t>If not specified in the City/Town Council minutes, evidence that the plan or amendment was</w:t>
      </w:r>
      <w:r>
        <w:rPr>
          <w:rFonts w:ascii="Times New Roman" w:hAnsi="Times New Roman" w:cs="Times New Roman"/>
          <w:sz w:val="24"/>
          <w:szCs w:val="24"/>
        </w:rPr>
        <w:t xml:space="preserve"> </w:t>
      </w:r>
      <w:r w:rsidRPr="00E35B0D">
        <w:rPr>
          <w:rFonts w:ascii="Times New Roman" w:hAnsi="Times New Roman" w:cs="Times New Roman"/>
          <w:sz w:val="24"/>
          <w:szCs w:val="24"/>
        </w:rPr>
        <w:t>adopted as an ordinance (e.g. copy of the ordinance)</w:t>
      </w:r>
    </w:p>
    <w:p w:rsidR="00CB38D9" w:rsidRDefault="00CB38D9" w:rsidP="00CB2BE4">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Copies of all public hearing advertisements</w:t>
      </w:r>
    </w:p>
    <w:p w:rsidR="00CB38D9" w:rsidRPr="00170849" w:rsidRDefault="00CB38D9" w:rsidP="00CB38D9">
      <w:pPr>
        <w:spacing w:after="0"/>
        <w:jc w:val="both"/>
        <w:rPr>
          <w:rFonts w:ascii="Times New Roman" w:hAnsi="Times New Roman" w:cs="Times New Roman"/>
          <w:sz w:val="24"/>
          <w:szCs w:val="24"/>
        </w:rPr>
      </w:pPr>
    </w:p>
    <w:p w:rsidR="00CB38D9" w:rsidRPr="00CB38D9" w:rsidRDefault="00CB38D9" w:rsidP="00CB38D9">
      <w:pPr>
        <w:spacing w:after="0" w:line="240" w:lineRule="auto"/>
        <w:jc w:val="center"/>
        <w:rPr>
          <w:rFonts w:ascii="Times New Roman" w:eastAsia="Calibri" w:hAnsi="Times New Roman" w:cs="Times New Roman"/>
          <w:b/>
          <w:bCs/>
          <w:sz w:val="28"/>
          <w:szCs w:val="28"/>
        </w:rPr>
      </w:pPr>
      <w:bookmarkStart w:id="2" w:name="_Hlk67641455"/>
      <w:r w:rsidRPr="00CB38D9">
        <w:rPr>
          <w:rFonts w:ascii="Times New Roman" w:eastAsia="Calibri" w:hAnsi="Times New Roman" w:cs="Times New Roman"/>
          <w:b/>
          <w:bCs/>
          <w:sz w:val="28"/>
          <w:szCs w:val="28"/>
        </w:rPr>
        <w:t>Comprehensive Plan Content Completion Checklist</w:t>
      </w:r>
    </w:p>
    <w:p w:rsidR="00CB38D9" w:rsidRPr="00CB38D9" w:rsidRDefault="00CB38D9" w:rsidP="00CB38D9">
      <w:pPr>
        <w:spacing w:after="0" w:line="240" w:lineRule="auto"/>
        <w:rPr>
          <w:rFonts w:ascii="Times New Roman" w:eastAsia="Calibri" w:hAnsi="Times New Roman" w:cs="Times New Roman"/>
          <w:sz w:val="24"/>
          <w:szCs w:val="24"/>
        </w:rPr>
      </w:pPr>
    </w:p>
    <w:p w:rsidR="00CB38D9" w:rsidRPr="00CB38D9" w:rsidRDefault="00CB38D9" w:rsidP="00CB38D9">
      <w:pPr>
        <w:spacing w:after="0" w:line="240" w:lineRule="auto"/>
        <w:rPr>
          <w:rFonts w:ascii="Times New Roman" w:eastAsia="Calibri" w:hAnsi="Times New Roman" w:cs="Times New Roman"/>
          <w:sz w:val="24"/>
          <w:szCs w:val="24"/>
        </w:rPr>
      </w:pPr>
      <w:r w:rsidRPr="00CB38D9">
        <w:rPr>
          <w:rFonts w:ascii="Times New Roman" w:eastAsia="Calibri" w:hAnsi="Times New Roman" w:cs="Times New Roman"/>
          <w:sz w:val="24"/>
          <w:szCs w:val="24"/>
        </w:rPr>
        <w:t xml:space="preserve">The </w:t>
      </w:r>
      <w:hyperlink r:id="rId8" w:history="1">
        <w:r w:rsidRPr="00CB38D9">
          <w:rPr>
            <w:rStyle w:val="Hyperlink"/>
            <w:rFonts w:ascii="Times New Roman" w:eastAsia="Calibri" w:hAnsi="Times New Roman" w:cs="Times New Roman"/>
            <w:sz w:val="24"/>
            <w:szCs w:val="24"/>
          </w:rPr>
          <w:t>Rhode Island Comprehensive Planning Standards Manual</w:t>
        </w:r>
      </w:hyperlink>
      <w:r w:rsidRPr="00CB38D9">
        <w:rPr>
          <w:rFonts w:ascii="Times New Roman" w:eastAsia="Calibri" w:hAnsi="Times New Roman" w:cs="Times New Roman"/>
          <w:sz w:val="24"/>
          <w:szCs w:val="24"/>
        </w:rPr>
        <w:t xml:space="preserve"> lays out the standards for complying with the requirements of the Comprehensive Planning and Land Use Act.  The following checklist draws from the Manual to identify items must be included in your community’s comprehensive plan in order to receive State approval.  This list is intended to provide you with an easy method to verify that required material has been included in your plan.  It will also assist us in expediting the review of your plan.</w:t>
      </w:r>
    </w:p>
    <w:p w:rsidR="00CB38D9" w:rsidRPr="00CB38D9" w:rsidRDefault="00CB38D9" w:rsidP="00CB38D9">
      <w:pPr>
        <w:spacing w:after="0" w:line="240" w:lineRule="auto"/>
        <w:rPr>
          <w:rFonts w:ascii="Times New Roman" w:eastAsia="Calibri" w:hAnsi="Times New Roman" w:cs="Times New Roman"/>
          <w:sz w:val="24"/>
          <w:szCs w:val="24"/>
        </w:rPr>
      </w:pPr>
    </w:p>
    <w:p w:rsidR="00CB38D9" w:rsidRPr="00CB38D9" w:rsidRDefault="00CB38D9" w:rsidP="00CB38D9">
      <w:pPr>
        <w:spacing w:after="0" w:line="240" w:lineRule="auto"/>
        <w:rPr>
          <w:rFonts w:ascii="Times New Roman" w:eastAsia="Calibri" w:hAnsi="Times New Roman" w:cs="Times New Roman"/>
          <w:sz w:val="24"/>
          <w:szCs w:val="24"/>
        </w:rPr>
      </w:pPr>
      <w:bookmarkStart w:id="3" w:name="_Hlk67641656"/>
      <w:bookmarkEnd w:id="2"/>
      <w:r w:rsidRPr="00CB38D9">
        <w:rPr>
          <w:rFonts w:ascii="Times New Roman" w:eastAsia="Calibri" w:hAnsi="Times New Roman" w:cs="Times New Roman"/>
          <w:sz w:val="24"/>
          <w:szCs w:val="24"/>
        </w:rPr>
        <w:t>If a certain requirement is not applicable to your community, please indicate by an “NA” in the “Page or Map” column.  If you have comments or explanations pertaining to any of the Standards, please include them at the end.</w:t>
      </w:r>
    </w:p>
    <w:p w:rsidR="00CB38D9" w:rsidRPr="00CB38D9" w:rsidRDefault="00CB38D9" w:rsidP="00CB38D9">
      <w:pPr>
        <w:spacing w:after="0" w:line="240" w:lineRule="auto"/>
        <w:rPr>
          <w:rFonts w:ascii="Times New Roman" w:eastAsia="Calibri" w:hAnsi="Times New Roman" w:cs="Times New Roman"/>
          <w:sz w:val="24"/>
          <w:szCs w:val="24"/>
        </w:rPr>
      </w:pPr>
    </w:p>
    <w:tbl>
      <w:tblPr>
        <w:tblStyle w:val="TableGrid1"/>
        <w:tblW w:w="9362" w:type="dxa"/>
        <w:tblInd w:w="10" w:type="dxa"/>
        <w:tblLook w:val="04A0" w:firstRow="1" w:lastRow="0" w:firstColumn="1" w:lastColumn="0" w:noHBand="0" w:noVBand="1"/>
      </w:tblPr>
      <w:tblGrid>
        <w:gridCol w:w="989"/>
        <w:gridCol w:w="6286"/>
        <w:gridCol w:w="2087"/>
      </w:tblGrid>
      <w:tr w:rsidR="00CB38D9" w:rsidRPr="00CB38D9" w:rsidTr="00AE030A">
        <w:tc>
          <w:tcPr>
            <w:tcW w:w="989" w:type="dxa"/>
            <w:tcBorders>
              <w:top w:val="single" w:sz="12" w:space="0" w:color="auto"/>
              <w:bottom w:val="single" w:sz="12" w:space="0" w:color="auto"/>
            </w:tcBorders>
            <w:tcMar>
              <w:top w:w="144" w:type="dxa"/>
              <w:left w:w="144" w:type="dxa"/>
              <w:bottom w:w="144" w:type="dxa"/>
              <w:right w:w="144" w:type="dxa"/>
            </w:tcMar>
            <w:vAlign w:val="center"/>
          </w:tcPr>
          <w:bookmarkEnd w:id="3"/>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Stand.</w:t>
            </w:r>
          </w:p>
        </w:tc>
        <w:tc>
          <w:tcPr>
            <w:tcW w:w="6286" w:type="dxa"/>
            <w:tcBorders>
              <w:top w:val="single" w:sz="12" w:space="0" w:color="auto"/>
              <w:bottom w:val="single" w:sz="12" w:space="0" w:color="auto"/>
            </w:tcBorders>
            <w:tcMar>
              <w:top w:w="144" w:type="dxa"/>
              <w:left w:w="144" w:type="dxa"/>
              <w:bottom w:w="144" w:type="dxa"/>
              <w:right w:w="144"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Requirement</w:t>
            </w:r>
          </w:p>
        </w:tc>
        <w:tc>
          <w:tcPr>
            <w:tcW w:w="2087" w:type="dxa"/>
            <w:tcBorders>
              <w:top w:val="single" w:sz="12" w:space="0" w:color="auto"/>
              <w:bottom w:val="single" w:sz="12" w:space="0" w:color="auto"/>
              <w:right w:val="single" w:sz="12" w:space="0" w:color="auto"/>
            </w:tcBorders>
            <w:tcMar>
              <w:top w:w="144" w:type="dxa"/>
              <w:left w:w="144" w:type="dxa"/>
              <w:bottom w:w="144" w:type="dxa"/>
              <w:right w:w="144" w:type="dxa"/>
            </w:tcMa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Page(s) or Map(s)</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1.5</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4" w:name="_Hlk67641580"/>
            <w:r w:rsidRPr="00CB38D9">
              <w:rPr>
                <w:rFonts w:ascii="Arial" w:eastAsia="Calibri" w:hAnsi="Arial" w:cs="Arial"/>
              </w:rPr>
              <w:t>20-year population projection</w:t>
            </w:r>
            <w:bookmarkEnd w:id="4"/>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Natural Resources</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2.1a</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Surface water, including ponds, rivers, and streams, and watersheds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2.1b</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Aquifers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2.1c</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Wetlands and saltwater marshes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2.1d</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Floodplains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2.1e</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Forested areas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lastRenderedPageBreak/>
              <w:t>2.1f</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Existing large, intact, or connected blocks of habitat area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2.1g</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Known critical, uncommon, or fragile wildlife habitat areas have been included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2.2</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Existing permanently protected conservation areas (both public and private)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2.3a</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The marsh areas within the community that are likely to be lost in the event of 1’, 3’, and 5’ of sea level rise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2.3b</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The areas within the community to which marsh is likely to migrate in the event of 1’, 3’, and 5’ of sea level rise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2.4</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Prominent issues facing the municipality’s significant natural resources have been identified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2.5</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The municipality’s priorities for land conservation have been identified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2.7</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Goals that embody the State’s goals for natural resources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2.8</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Implementation actions that address the protection and management of natural resources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Recreation and Open Space</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3.1</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Existing recreational areas and sites have been identified (preferably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3.2</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Existing and future recreational needs</w:t>
            </w:r>
            <w:r w:rsidRPr="00CB38D9">
              <w:rPr>
                <w:rFonts w:ascii="Arial" w:eastAsia="Calibri" w:hAnsi="Arial" w:cs="Arial"/>
                <w:sz w:val="24"/>
                <w:szCs w:val="24"/>
              </w:rPr>
              <w:t xml:space="preserve"> </w:t>
            </w:r>
            <w:r w:rsidRPr="00CB38D9">
              <w:rPr>
                <w:rFonts w:ascii="Arial" w:eastAsia="Calibri" w:hAnsi="Arial" w:cs="Arial"/>
              </w:rPr>
              <w:t>have been analyzed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3.3</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Areas for the potential expansion of recreational facilities have been identified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3.4</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Goals that embody the State’s goals for recreation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3.5a</w:t>
            </w:r>
          </w:p>
        </w:tc>
        <w:tc>
          <w:tcPr>
            <w:tcW w:w="6286" w:type="dxa"/>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Implementation actions that address the protection and management of recreational resources and acquisition of additional resources, if appropriate,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Borders>
              <w:bottom w:val="single" w:sz="4" w:space="0" w:color="auto"/>
            </w:tcBorders>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r w:rsidRPr="00CB38D9">
              <w:rPr>
                <w:rFonts w:ascii="Arial" w:eastAsia="Calibri" w:hAnsi="Arial" w:cs="Arial"/>
              </w:rPr>
              <w:t>3.5b</w:t>
            </w:r>
          </w:p>
        </w:tc>
        <w:tc>
          <w:tcPr>
            <w:tcW w:w="6286" w:type="dxa"/>
            <w:tcBorders>
              <w:bottom w:val="single" w:sz="4" w:space="0" w:color="auto"/>
            </w:tcBorders>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Implementation actions that address meeting identified recreational needs have been included</w:t>
            </w:r>
          </w:p>
        </w:tc>
        <w:tc>
          <w:tcPr>
            <w:tcW w:w="2087" w:type="dxa"/>
            <w:tcBorders>
              <w:bottom w:val="single" w:sz="4" w:space="0" w:color="auto"/>
            </w:tcBorders>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5" w:name="_Hlk67573420"/>
            <w:r w:rsidRPr="00CB38D9">
              <w:rPr>
                <w:rFonts w:ascii="Arial" w:eastAsia="Calibri" w:hAnsi="Arial" w:cs="Arial"/>
              </w:rPr>
              <w:lastRenderedPageBreak/>
              <w:t>Historic and Cultural Resources</w:t>
            </w:r>
          </w:p>
        </w:tc>
      </w:tr>
      <w:bookmarkEnd w:id="5"/>
      <w:tr w:rsidR="00CB38D9" w:rsidRPr="00CB38D9" w:rsidTr="00AE030A">
        <w:tc>
          <w:tcPr>
            <w:tcW w:w="989" w:type="dxa"/>
            <w:tcBorders>
              <w:top w:val="single" w:sz="4" w:space="0" w:color="auto"/>
            </w:tcBorders>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4.1</w:t>
            </w:r>
          </w:p>
        </w:tc>
        <w:tc>
          <w:tcPr>
            <w:tcW w:w="6286" w:type="dxa"/>
            <w:tcBorders>
              <w:top w:val="single" w:sz="4" w:space="0" w:color="auto"/>
            </w:tcBorders>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Historic and cultural resource areas and sites (such as, but not limited to, historical buildings, landmarks, and scenic views) have been identified</w:t>
            </w:r>
          </w:p>
        </w:tc>
        <w:tc>
          <w:tcPr>
            <w:tcW w:w="2087" w:type="dxa"/>
            <w:tcBorders>
              <w:top w:val="single" w:sz="4" w:space="0" w:color="auto"/>
            </w:tcBorders>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4.1a.i</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One or more maps showing properties or districts listed on the State or National Register of Historic Places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4.1a.ii</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One or more maps showing Locally designated historic districts established through the zoning ordinance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4.1b</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Clear identification of the name of each mapped resource area and/or site has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4.3</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Goals that embody the State’s goals for historic and cultural resources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4.4</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Implementation actions that address the protection of historic and cultural resources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before="20" w:after="20" w:line="259" w:lineRule="auto"/>
              <w:rPr>
                <w:rFonts w:ascii="Arial" w:eastAsia="Calibri" w:hAnsi="Arial" w:cs="Arial"/>
              </w:rPr>
            </w:pPr>
            <w:r w:rsidRPr="00CB38D9">
              <w:rPr>
                <w:rFonts w:ascii="Arial" w:eastAsia="Calibri" w:hAnsi="Arial" w:cs="Arial"/>
              </w:rPr>
              <w:t>Housing</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5.2</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Existing housing patterns have been identified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5.4</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Existing and future housing needs, including the need for affordable housing, have been assessed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highlight w:val="yellow"/>
              </w:rPr>
            </w:pPr>
            <w:r w:rsidRPr="00CB38D9">
              <w:rPr>
                <w:rFonts w:ascii="Arial" w:eastAsia="Calibri" w:hAnsi="Arial" w:cs="Arial"/>
              </w:rPr>
              <w:t>5.5</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highlight w:val="yellow"/>
              </w:rPr>
            </w:pPr>
            <w:r w:rsidRPr="00CB38D9">
              <w:rPr>
                <w:rFonts w:ascii="Arial" w:eastAsia="Calibri" w:hAnsi="Arial" w:cs="Arial"/>
              </w:rPr>
              <w:t>How one of the mandated low- and moderate-income thresholds will be met has been demonstrated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5.7</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Goals that embody the State’s goals for housing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5.8a</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Implementation actions that address the development of housing units in adequate numbers to meet future population needs, including the development of a minimum of 10% of the year-round housing within the community as low- and moderate-income housing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5.8b</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Implementation actions that address promoting the use and rehabilitation of the existing housing stock and maintaining a housing stock that is safe, healthy, and sanitary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lastRenderedPageBreak/>
              <w:t>5.8c</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Implementation actions that address locating new housing in appropriate areas of the community at densities that are appropriate to the characteristics of the land, the availability of infrastructure and community services and the densities of surrounding neighborhood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spacing w:before="20" w:after="20"/>
              <w:jc w:val="center"/>
              <w:rPr>
                <w:rFonts w:ascii="Arial" w:eastAsia="Calibri" w:hAnsi="Arial" w:cs="Arial"/>
              </w:rPr>
            </w:pPr>
            <w:r w:rsidRPr="00CB38D9">
              <w:rPr>
                <w:rFonts w:ascii="Arial" w:eastAsia="Calibri" w:hAnsi="Arial" w:cs="Arial"/>
              </w:rPr>
              <w:t>5.8d</w:t>
            </w:r>
          </w:p>
        </w:tc>
        <w:tc>
          <w:tcPr>
            <w:tcW w:w="6286" w:type="dxa"/>
            <w:tcMar>
              <w:top w:w="115" w:type="dxa"/>
              <w:left w:w="115" w:type="dxa"/>
              <w:bottom w:w="115" w:type="dxa"/>
              <w:right w:w="115" w:type="dxa"/>
            </w:tcMar>
            <w:vAlign w:val="center"/>
          </w:tcPr>
          <w:p w:rsidR="00CB38D9" w:rsidRPr="00CB38D9" w:rsidRDefault="00CB38D9" w:rsidP="00CB38D9">
            <w:pPr>
              <w:spacing w:before="20" w:after="20"/>
              <w:rPr>
                <w:rFonts w:ascii="Arial" w:eastAsia="Calibri" w:hAnsi="Arial" w:cs="Arial"/>
              </w:rPr>
            </w:pPr>
            <w:r w:rsidRPr="00CB38D9">
              <w:rPr>
                <w:rFonts w:ascii="Arial" w:eastAsia="Calibri" w:hAnsi="Arial" w:cs="Arial"/>
              </w:rPr>
              <w:t>Implementation actions that address complying with the requirements of RIGL subsection 45-24-46.1(b), (inclusionary zoning incentives), if applicable, have been included</w:t>
            </w:r>
          </w:p>
        </w:tc>
        <w:tc>
          <w:tcPr>
            <w:tcW w:w="2087" w:type="dxa"/>
            <w:tcMar>
              <w:top w:w="115" w:type="dxa"/>
              <w:left w:w="115" w:type="dxa"/>
              <w:bottom w:w="115" w:type="dxa"/>
              <w:right w:w="115" w:type="dxa"/>
            </w:tcMar>
            <w:vAlign w:val="center"/>
          </w:tcPr>
          <w:p w:rsidR="00CB38D9" w:rsidRPr="00CB38D9" w:rsidRDefault="00CB38D9" w:rsidP="00CB38D9">
            <w:pPr>
              <w:spacing w:before="20" w:after="20"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Economic Development</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6.1</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existing types and patterns of economic activities that exist within the municipality have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6.2</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ways in which the local government can improve the local business climate have been assessed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6.3</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economic development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6.4a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that address creating a climate in which business activity will grow and businesses will thrive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6.4b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that address conserving and enhancing areas suitable for economic expansion and/or redevelopment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Agriculture</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7.1</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Valuable agricultural soils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7.5</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agriculture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7.6</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B84197">
            <w:pPr>
              <w:spacing w:before="40" w:after="40" w:line="259" w:lineRule="auto"/>
              <w:rPr>
                <w:rFonts w:ascii="Arial" w:eastAsia="Calibri" w:hAnsi="Arial" w:cs="Arial"/>
              </w:rPr>
            </w:pPr>
            <w:bookmarkStart w:id="6" w:name="_Hlk67570091"/>
            <w:r w:rsidRPr="00CB38D9">
              <w:rPr>
                <w:rFonts w:ascii="Arial" w:eastAsia="Calibri" w:hAnsi="Arial" w:cs="Arial"/>
              </w:rPr>
              <w:t>Sewer Service Areas</w:t>
            </w:r>
          </w:p>
        </w:tc>
      </w:tr>
      <w:bookmarkEnd w:id="6"/>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8.1</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proposed sewer service areas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B84197">
            <w:pPr>
              <w:jc w:val="center"/>
              <w:rPr>
                <w:rFonts w:ascii="Arial" w:eastAsia="Calibri" w:hAnsi="Arial" w:cs="Arial"/>
              </w:rPr>
            </w:pPr>
            <w:r w:rsidRPr="00CB38D9">
              <w:rPr>
                <w:rFonts w:ascii="Arial" w:eastAsia="Calibri" w:hAnsi="Arial" w:cs="Arial"/>
              </w:rPr>
              <w:t>8.1a</w:t>
            </w:r>
          </w:p>
        </w:tc>
        <w:tc>
          <w:tcPr>
            <w:tcW w:w="6286" w:type="dxa"/>
            <w:tcMar>
              <w:top w:w="115" w:type="dxa"/>
              <w:left w:w="115" w:type="dxa"/>
              <w:bottom w:w="115" w:type="dxa"/>
              <w:right w:w="115" w:type="dxa"/>
            </w:tcMar>
            <w:vAlign w:val="center"/>
          </w:tcPr>
          <w:p w:rsidR="00CB38D9" w:rsidRPr="00CB38D9" w:rsidRDefault="00CB38D9" w:rsidP="00B84197">
            <w:pPr>
              <w:rPr>
                <w:rFonts w:ascii="Arial" w:eastAsia="Calibri" w:hAnsi="Arial" w:cs="Arial"/>
              </w:rPr>
            </w:pPr>
            <w:r w:rsidRPr="00CB38D9">
              <w:rPr>
                <w:rFonts w:ascii="Arial" w:eastAsia="Calibri" w:hAnsi="Arial" w:cs="Arial"/>
              </w:rPr>
              <w:t>Areas that currently have access to a sewer line, regardless of whether the buildings within the area are in fact connected to the sewer system have been identified on a map</w:t>
            </w:r>
          </w:p>
        </w:tc>
        <w:tc>
          <w:tcPr>
            <w:tcW w:w="2087" w:type="dxa"/>
            <w:tcMar>
              <w:top w:w="115" w:type="dxa"/>
              <w:left w:w="115" w:type="dxa"/>
              <w:bottom w:w="115" w:type="dxa"/>
              <w:right w:w="115" w:type="dxa"/>
            </w:tcMar>
            <w:vAlign w:val="center"/>
          </w:tcPr>
          <w:p w:rsidR="00CB38D9" w:rsidRPr="00CB38D9" w:rsidRDefault="00CB38D9" w:rsidP="00B84197">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7" w:name="_Hlk67570247"/>
            <w:r w:rsidRPr="00CB38D9">
              <w:rPr>
                <w:rFonts w:ascii="Arial" w:eastAsia="Calibri" w:hAnsi="Arial" w:cs="Arial"/>
              </w:rPr>
              <w:lastRenderedPageBreak/>
              <w:t>Significant Public Infrastructure and Facilities</w:t>
            </w:r>
          </w:p>
        </w:tc>
      </w:tr>
      <w:bookmarkEnd w:id="7"/>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8.2a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All municipally-owned and/or operated buildings, including but not limited to city/town hall, administration buildings, schools, community and/or senior centers, libraries, fire stations, police stations, etc.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Borders>
              <w:bottom w:val="single" w:sz="4" w:space="0" w:color="auto"/>
            </w:tcBorders>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8.2b</w:t>
            </w:r>
          </w:p>
        </w:tc>
        <w:tc>
          <w:tcPr>
            <w:tcW w:w="6286" w:type="dxa"/>
            <w:tcBorders>
              <w:bottom w:val="single" w:sz="4" w:space="0" w:color="auto"/>
            </w:tcBorders>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Solid waste transfer stations and municipal compost or refuse disposal sites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8.2c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Wastewater treatment plants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8" w:name="_Hlk67570340"/>
            <w:r w:rsidRPr="00CB38D9">
              <w:rPr>
                <w:rFonts w:ascii="Arial" w:eastAsia="Calibri" w:hAnsi="Arial" w:cs="Arial"/>
              </w:rPr>
              <w:t>Solid Waste Management</w:t>
            </w:r>
          </w:p>
        </w:tc>
      </w:tr>
      <w:bookmarkEnd w:id="8"/>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municipal solid waste management system has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the current and anticipated future quality of the solid waste management services currently provided to the community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solid waste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9D4DAA">
            <w:pPr>
              <w:spacing w:before="40" w:after="40" w:line="259" w:lineRule="auto"/>
              <w:rPr>
                <w:rFonts w:ascii="Arial" w:eastAsia="Calibri" w:hAnsi="Arial" w:cs="Arial"/>
              </w:rPr>
            </w:pPr>
            <w:r w:rsidRPr="00CB38D9">
              <w:rPr>
                <w:rFonts w:ascii="Arial" w:eastAsia="Calibri" w:hAnsi="Arial" w:cs="Arial"/>
              </w:rPr>
              <w:t>Wastewater Management</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MS Mincho" w:hAnsi="Arial" w:cs="Arial"/>
              </w:rPr>
            </w:pPr>
            <w:r w:rsidRPr="00CB38D9">
              <w:rPr>
                <w:rFonts w:ascii="Arial" w:eastAsia="Calibri" w:hAnsi="Arial" w:cs="Arial"/>
              </w:rPr>
              <w:t>The wastewater management system has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8.3b.</w:t>
            </w:r>
            <w:r w:rsidRPr="00CB38D9">
              <w:rPr>
                <w:rFonts w:ascii="Arial" w:eastAsia="MS Mincho" w:hAnsi="Arial" w:cs="Arial"/>
              </w:rPr>
              <w:t>i</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MS Mincho" w:hAnsi="Arial" w:cs="Arial"/>
              </w:rPr>
              <w:t>The wastewater infrastructure for which the municipality is responsible has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the current and anticipated future quality of the wastewater management services currently provided to the community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wastewater management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9D4DAA">
            <w:pPr>
              <w:spacing w:before="40" w:after="40" w:line="259" w:lineRule="auto"/>
              <w:rPr>
                <w:rFonts w:ascii="Arial" w:eastAsia="Calibri" w:hAnsi="Arial" w:cs="Arial"/>
              </w:rPr>
            </w:pPr>
            <w:r w:rsidRPr="00CB38D9">
              <w:rPr>
                <w:rFonts w:ascii="Arial" w:eastAsia="Calibri" w:hAnsi="Arial" w:cs="Arial"/>
              </w:rPr>
              <w:t>Stormwater Management</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municipal approach to stormwater management has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the current and anticipated future quality of the stormwater management services currently provided to the community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lastRenderedPageBreak/>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stormwater management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9" w:name="_Hlk67570431"/>
            <w:r w:rsidRPr="00CB38D9">
              <w:rPr>
                <w:rFonts w:ascii="Arial" w:eastAsia="Calibri" w:hAnsi="Arial" w:cs="Arial"/>
              </w:rPr>
              <w:t>Public Safety Services</w:t>
            </w:r>
          </w:p>
        </w:tc>
      </w:tr>
      <w:bookmarkEnd w:id="9"/>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8.3d</w:t>
            </w:r>
          </w:p>
        </w:tc>
        <w:tc>
          <w:tcPr>
            <w:tcW w:w="6286" w:type="dxa"/>
            <w:tcMar>
              <w:top w:w="115" w:type="dxa"/>
              <w:left w:w="115" w:type="dxa"/>
              <w:bottom w:w="115" w:type="dxa"/>
              <w:right w:w="115" w:type="dxa"/>
            </w:tcMar>
            <w:vAlign w:val="center"/>
          </w:tcPr>
          <w:p w:rsidR="00CB38D9" w:rsidRPr="00CB38D9" w:rsidRDefault="00CB38D9" w:rsidP="00CB38D9">
            <w:pPr>
              <w:ind w:left="72"/>
              <w:rPr>
                <w:rFonts w:ascii="Arial" w:eastAsia="Calibri" w:hAnsi="Arial" w:cs="Arial"/>
              </w:rPr>
            </w:pPr>
            <w:r w:rsidRPr="00CB38D9">
              <w:rPr>
                <w:rFonts w:ascii="Arial" w:eastAsia="Calibri" w:hAnsi="Arial" w:cs="Arial"/>
              </w:rPr>
              <w:t>Public safety services provided to the community, as well as the facilities and infrastructure associated with these services have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public safety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10" w:name="_Hlk67570636"/>
            <w:r w:rsidRPr="00CB38D9">
              <w:rPr>
                <w:rFonts w:ascii="Arial" w:eastAsia="Calibri" w:hAnsi="Arial" w:cs="Arial"/>
              </w:rPr>
              <w:t>Public Education</w:t>
            </w:r>
          </w:p>
        </w:tc>
      </w:tr>
      <w:bookmarkEnd w:id="10"/>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8.3e.i</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All aspects of the public educational system, including a description of the overall public educational system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public-school needs has been provided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Public Library Services</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8.3f</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For municipalities that provide library services, the public library system has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the current and anticipated future quality of the public library services currently provided to the community has been provided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public library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594A42">
            <w:pPr>
              <w:spacing w:before="40" w:after="40" w:line="259" w:lineRule="auto"/>
              <w:rPr>
                <w:rFonts w:ascii="Arial" w:eastAsia="Calibri" w:hAnsi="Arial" w:cs="Arial"/>
              </w:rPr>
            </w:pPr>
            <w:r w:rsidRPr="00CB38D9">
              <w:rPr>
                <w:rFonts w:ascii="Arial" w:eastAsia="Calibri" w:hAnsi="Arial" w:cs="Arial"/>
              </w:rPr>
              <w:t>Community and/or Senior Centers</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8.3g</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 xml:space="preserve">For municipalities that provide community and/or senior centers, the services </w:t>
            </w:r>
            <w:proofErr w:type="gramStart"/>
            <w:r w:rsidRPr="00CB38D9">
              <w:rPr>
                <w:rFonts w:ascii="Arial" w:eastAsia="Calibri" w:hAnsi="Arial" w:cs="Arial"/>
              </w:rPr>
              <w:t>provided</w:t>
            </w:r>
            <w:proofErr w:type="gramEnd"/>
            <w:r w:rsidRPr="00CB38D9">
              <w:rPr>
                <w:rFonts w:ascii="Arial" w:eastAsia="Calibri" w:hAnsi="Arial" w:cs="Arial"/>
              </w:rPr>
              <w:t xml:space="preserve"> and associated facilities have been described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 assessment of the current and anticipated future quality of community and/or senior centers currently provided to the community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8.4c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related to the condition and/or capacity of community and/or senior center facilities and infrastructure have been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594A42">
            <w:pPr>
              <w:spacing w:before="40" w:after="40" w:line="259" w:lineRule="auto"/>
              <w:rPr>
                <w:rFonts w:ascii="Arial" w:eastAsia="Calibri" w:hAnsi="Arial" w:cs="Arial"/>
              </w:rPr>
            </w:pPr>
            <w:r w:rsidRPr="00CB38D9">
              <w:rPr>
                <w:rFonts w:ascii="Arial" w:eastAsia="Calibri" w:hAnsi="Arial" w:cs="Arial"/>
              </w:rPr>
              <w:lastRenderedPageBreak/>
              <w:t>All Public Services and Facilities</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8.5</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services and facilities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8.6</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8.6c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to meet existing and future needs for services and facilities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11" w:name="_Hlk67574439"/>
            <w:r w:rsidRPr="00CB38D9">
              <w:rPr>
                <w:rFonts w:ascii="Arial" w:eastAsia="Calibri" w:hAnsi="Arial" w:cs="Arial"/>
              </w:rPr>
              <w:t>Energy</w:t>
            </w:r>
          </w:p>
        </w:tc>
      </w:tr>
      <w:bookmarkEnd w:id="11"/>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9.1</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energy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Water Supply</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10.1a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Surface reservoirs used for potable water have been identified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10.1b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Aquifers</w:t>
            </w:r>
            <w:r w:rsidRPr="00CB38D9">
              <w:rPr>
                <w:rFonts w:ascii="Arial" w:eastAsia="Calibri" w:hAnsi="Arial" w:cs="Arial"/>
                <w:sz w:val="24"/>
                <w:szCs w:val="24"/>
              </w:rPr>
              <w:t xml:space="preserve"> </w:t>
            </w:r>
            <w:r w:rsidRPr="00CB38D9">
              <w:rPr>
                <w:rFonts w:ascii="Arial" w:eastAsia="Calibri" w:hAnsi="Arial" w:cs="Arial"/>
              </w:rPr>
              <w:t>have been identified on one or more maps</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10.2</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service areas have been identified on a map, if applicable</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10.3</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 xml:space="preserve">The ways in which water is provided to the community have been described </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10.4</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and future issues concerning the supply of potable water to the municipality has been assessed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10.4a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general adequacy of water sources to meet current demands has been assessed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10.5</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water quality and supply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bookmarkStart w:id="12" w:name="_Hlk67574471"/>
            <w:r w:rsidRPr="00CB38D9">
              <w:rPr>
                <w:rFonts w:ascii="Arial" w:eastAsia="Calibri" w:hAnsi="Arial" w:cs="Arial"/>
              </w:rPr>
              <w:t>10.6</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13" w:name="_Hlk67575096"/>
            <w:bookmarkEnd w:id="12"/>
            <w:r w:rsidRPr="00CB38D9">
              <w:rPr>
                <w:rFonts w:ascii="Arial" w:eastAsia="Calibri" w:hAnsi="Arial" w:cs="Arial"/>
              </w:rPr>
              <w:t>Transportation</w:t>
            </w:r>
          </w:p>
        </w:tc>
      </w:tr>
      <w:bookmarkEnd w:id="13"/>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Major streets, highways, and interstates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Bus routes and major bus hubs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Separated bicycle paths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lastRenderedPageBreak/>
              <w:t>11.1d</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Rail stations and railway lines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11.1e</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Ports and harbors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11.1f</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Airports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11.1g</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Other major transportation facilities that may exist within the municipality have been included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11.2a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transportation modes currently serving the community have been described and assessed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11.2b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existing and proposed major facilities and routes that serve transit riders, bicyclists, and pedestrians have been described and assessed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11.2c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existing and proposed major facilities and routes that facilitate the movement of freight, including air, marine, rail, highway, and pipelines have been described and assessed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11.2d</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Large-scale transportation facilities that exist within the community if any, such as airports, ports and harbors, bus depots, etc. have been described and assessed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11.3</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transportation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11.4</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14" w:name="_Hlk67575873"/>
            <w:r w:rsidRPr="00CB38D9">
              <w:rPr>
                <w:rFonts w:ascii="Arial" w:eastAsia="Calibri" w:hAnsi="Arial" w:cs="Arial"/>
              </w:rPr>
              <w:t>Natural Hazards and Climate Change</w:t>
            </w:r>
          </w:p>
        </w:tc>
      </w:tr>
      <w:bookmarkEnd w:id="14"/>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12.2a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One or more maps that illustrate the areas that would currently be inundated in the event of a 1% and 0.2% storm as they appear on the most recent Federal Emergency Management Agency (FEMA) Flood Insurance Rate Maps (FIRMs)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12.2b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One or more maps that illustrate the areas that would be inundated in the event of Category 1 through 4 hurricanes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12.2c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One or more maps that illustrate the areas that are projected to be inundated due to 1’, 3’, and 5’ of sea level rise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12.4</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regarding natural hazards and climate change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lastRenderedPageBreak/>
              <w:t>12.6</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that would help to avoid or minimize the effects that natural hazards pose to lives, infrastructure, and property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bookmarkStart w:id="15" w:name="_Hlk67577406"/>
            <w:r w:rsidRPr="00CB38D9">
              <w:rPr>
                <w:rFonts w:ascii="Arial" w:eastAsia="Calibri" w:hAnsi="Arial" w:cs="Arial"/>
              </w:rPr>
              <w:t>Land Use</w:t>
            </w:r>
          </w:p>
        </w:tc>
      </w:tr>
      <w:bookmarkEnd w:id="15"/>
      <w:tr w:rsidR="00CB38D9" w:rsidRPr="00CB38D9" w:rsidTr="00AE030A">
        <w:tc>
          <w:tcPr>
            <w:tcW w:w="989" w:type="dxa"/>
            <w:tcBorders>
              <w:top w:val="single" w:sz="4" w:space="0" w:color="auto"/>
            </w:tcBorders>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13.1</w:t>
            </w:r>
          </w:p>
        </w:tc>
        <w:tc>
          <w:tcPr>
            <w:tcW w:w="6286" w:type="dxa"/>
            <w:tcBorders>
              <w:top w:val="single" w:sz="4" w:space="0" w:color="auto"/>
            </w:tcBorders>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land uses have been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13.2</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Existing zoning districts have been described and identified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13.5</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Future land use and residential density categories have been illustrated on a Future Land Use Map (FLUM) that meet the following standards:</w:t>
            </w:r>
          </w:p>
          <w:p w:rsidR="00CB38D9" w:rsidRPr="00CB38D9" w:rsidRDefault="00CB38D9" w:rsidP="00594A42">
            <w:pPr>
              <w:numPr>
                <w:ilvl w:val="0"/>
                <w:numId w:val="10"/>
              </w:numPr>
              <w:rPr>
                <w:rFonts w:ascii="Arial" w:eastAsia="Calibri" w:hAnsi="Arial" w:cs="Arial"/>
              </w:rPr>
            </w:pPr>
            <w:r w:rsidRPr="00CB38D9">
              <w:rPr>
                <w:rFonts w:ascii="Arial" w:eastAsia="Calibri" w:hAnsi="Arial" w:cs="Arial"/>
              </w:rPr>
              <w:t>All land areas within the municipality’s boundaries have been designated with a future land use category</w:t>
            </w:r>
          </w:p>
          <w:p w:rsidR="00CB38D9" w:rsidRPr="00CB38D9" w:rsidRDefault="00CB38D9" w:rsidP="00594A42">
            <w:pPr>
              <w:numPr>
                <w:ilvl w:val="0"/>
                <w:numId w:val="10"/>
              </w:numPr>
              <w:rPr>
                <w:rFonts w:ascii="Arial" w:eastAsia="Calibri" w:hAnsi="Arial" w:cs="Arial"/>
              </w:rPr>
            </w:pPr>
            <w:r w:rsidRPr="00CB38D9">
              <w:rPr>
                <w:rFonts w:ascii="Arial" w:eastAsia="Calibri" w:hAnsi="Arial" w:cs="Arial"/>
              </w:rPr>
              <w:t>Each future land use category depicted on the FLUM has been labeled within the map’s legend</w:t>
            </w:r>
          </w:p>
          <w:p w:rsidR="00CB38D9" w:rsidRPr="00CB38D9" w:rsidRDefault="00CB38D9" w:rsidP="00594A42">
            <w:pPr>
              <w:numPr>
                <w:ilvl w:val="0"/>
                <w:numId w:val="10"/>
              </w:numPr>
              <w:rPr>
                <w:rFonts w:ascii="Arial" w:eastAsia="Calibri" w:hAnsi="Arial" w:cs="Arial"/>
              </w:rPr>
            </w:pPr>
            <w:r w:rsidRPr="00CB38D9">
              <w:rPr>
                <w:rFonts w:ascii="Arial" w:eastAsia="Calibri" w:hAnsi="Arial" w:cs="Arial"/>
              </w:rPr>
              <w:t>Existing permanently protected conservation areas have been identified on the FLUM</w:t>
            </w:r>
          </w:p>
          <w:p w:rsidR="00CB38D9" w:rsidRPr="00CB38D9" w:rsidRDefault="00CB38D9" w:rsidP="00594A42">
            <w:pPr>
              <w:numPr>
                <w:ilvl w:val="0"/>
                <w:numId w:val="10"/>
              </w:numPr>
              <w:rPr>
                <w:rFonts w:ascii="Arial" w:eastAsia="Calibri" w:hAnsi="Arial" w:cs="Arial"/>
              </w:rPr>
            </w:pPr>
            <w:r w:rsidRPr="00CB38D9">
              <w:rPr>
                <w:rFonts w:ascii="Arial" w:eastAsia="Calibri" w:hAnsi="Arial" w:cs="Arial"/>
              </w:rPr>
              <w:t>Significant existing, permanently protected outdoor recreational areas have been identified on the FLUM</w:t>
            </w:r>
          </w:p>
          <w:p w:rsidR="00CB38D9" w:rsidRPr="00CB38D9" w:rsidRDefault="00CB38D9" w:rsidP="00CB38D9">
            <w:pPr>
              <w:numPr>
                <w:ilvl w:val="0"/>
                <w:numId w:val="10"/>
              </w:numPr>
              <w:contextualSpacing/>
              <w:rPr>
                <w:rFonts w:ascii="Arial" w:eastAsia="Calibri" w:hAnsi="Arial" w:cs="Arial"/>
              </w:rPr>
            </w:pPr>
            <w:r w:rsidRPr="00CB38D9">
              <w:rPr>
                <w:rFonts w:ascii="Arial" w:eastAsia="Calibri" w:hAnsi="Arial" w:cs="Arial"/>
              </w:rPr>
              <w:t>Areas of the municipality in which residential, commercial, industrial, and agricultural uses are desired as a future land use have been identified on the FLUM</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13.6a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Descriptions of the general uses that are desired within the future land use category (residential, commercial, industrial, agricultural, civic, institutional, open space, recreation, etc.)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13.6b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average residential density or the range of residential densities that are desired within the future land use category, if residential uses are to be permitted have been identified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13.7a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Any areas of the municipality in which inconsistencies exist between the existing zoning districts and the desired future land uses illustrated on the Future Land Use Map have been clearly delineated on a map</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13.7b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The existing zoning in the areas that have been determined to be inconsistent have been identified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13.7c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 xml:space="preserve">The future land use designations of areas that have been determined to be inconsistent have been identified </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13.8</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For any inconsistencies that exist between the existing zoning districts and the Future Land Use Map and categories, proposed resolutions have been selected and discussed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lastRenderedPageBreak/>
              <w:t>13.10</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Goals that embody the State’s goals for land use and policies to support each goal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13.11a</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that address promoting orderly growth and development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13.11c</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ensuring that municipal land use regulations are consistent with the goals and policies set forth within the comprehensive plan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13.11d</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amending the zoning ordinance and map to provide consistency with the comprehensive plan, if applicable, have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362" w:type="dxa"/>
            <w:gridSpan w:val="3"/>
            <w:tcMar>
              <w:top w:w="115" w:type="dxa"/>
              <w:left w:w="115" w:type="dxa"/>
              <w:bottom w:w="115" w:type="dxa"/>
              <w:right w:w="115" w:type="dxa"/>
            </w:tcMar>
            <w:vAlign w:val="center"/>
          </w:tcPr>
          <w:p w:rsidR="00CB38D9" w:rsidRPr="00CB38D9" w:rsidRDefault="00CB38D9" w:rsidP="00CB38D9">
            <w:pPr>
              <w:spacing w:line="259" w:lineRule="auto"/>
              <w:rPr>
                <w:rFonts w:ascii="Arial" w:eastAsia="Calibri" w:hAnsi="Arial" w:cs="Arial"/>
              </w:rPr>
            </w:pPr>
            <w:r w:rsidRPr="00CB38D9">
              <w:rPr>
                <w:rFonts w:ascii="Arial" w:eastAsia="Calibri" w:hAnsi="Arial" w:cs="Arial"/>
              </w:rPr>
              <w:t>Implementation Program</w:t>
            </w: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14.1</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 separate Implementation Program has been included in the plan</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14.2b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 timeframe for each implementation action has been provided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14.3</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Implementation actions involving the expansion or replacement of public facilities that are reflected in the current Capital Improvement Program have been identified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r w:rsidR="00CB38D9" w:rsidRPr="00CB38D9" w:rsidTr="00AE030A">
        <w:tc>
          <w:tcPr>
            <w:tcW w:w="989" w:type="dxa"/>
            <w:tcMar>
              <w:top w:w="115" w:type="dxa"/>
              <w:left w:w="115" w:type="dxa"/>
              <w:bottom w:w="115" w:type="dxa"/>
              <w:right w:w="115" w:type="dxa"/>
            </w:tcMar>
            <w:vAlign w:val="center"/>
          </w:tcPr>
          <w:p w:rsidR="00CB38D9" w:rsidRPr="00CB38D9" w:rsidRDefault="00CB38D9" w:rsidP="00CB38D9">
            <w:pPr>
              <w:jc w:val="center"/>
              <w:rPr>
                <w:rFonts w:ascii="Arial" w:eastAsia="Calibri" w:hAnsi="Arial" w:cs="Arial"/>
              </w:rPr>
            </w:pPr>
            <w:r w:rsidRPr="00CB38D9">
              <w:rPr>
                <w:rFonts w:ascii="Arial" w:eastAsia="Calibri" w:hAnsi="Arial" w:cs="Arial"/>
              </w:rPr>
              <w:t>14.4 &amp;</w:t>
            </w:r>
          </w:p>
          <w:p w:rsidR="00CB38D9" w:rsidRPr="00CB38D9" w:rsidRDefault="00CB38D9" w:rsidP="00CB38D9">
            <w:pPr>
              <w:jc w:val="center"/>
              <w:rPr>
                <w:rFonts w:ascii="Arial" w:eastAsia="Calibri" w:hAnsi="Arial" w:cs="Arial"/>
              </w:rPr>
            </w:pPr>
            <w:r w:rsidRPr="00CB38D9">
              <w:rPr>
                <w:rFonts w:ascii="Arial" w:eastAsia="Calibri" w:hAnsi="Arial" w:cs="Arial"/>
              </w:rPr>
              <w:t>14.4b</w:t>
            </w:r>
          </w:p>
        </w:tc>
        <w:tc>
          <w:tcPr>
            <w:tcW w:w="6286" w:type="dxa"/>
            <w:tcMar>
              <w:top w:w="115" w:type="dxa"/>
              <w:left w:w="115" w:type="dxa"/>
              <w:bottom w:w="115" w:type="dxa"/>
              <w:right w:w="115" w:type="dxa"/>
            </w:tcMar>
            <w:vAlign w:val="center"/>
          </w:tcPr>
          <w:p w:rsidR="00CB38D9" w:rsidRPr="00CB38D9" w:rsidRDefault="00CB38D9" w:rsidP="00CB38D9">
            <w:pPr>
              <w:rPr>
                <w:rFonts w:ascii="Arial" w:eastAsia="Calibri" w:hAnsi="Arial" w:cs="Arial"/>
              </w:rPr>
            </w:pPr>
            <w:r w:rsidRPr="00CB38D9">
              <w:rPr>
                <w:rFonts w:ascii="Arial" w:eastAsia="Calibri" w:hAnsi="Arial" w:cs="Arial"/>
              </w:rPr>
              <w:t>A schedule by which the zoning ordinance and zoning map will be amended to provide consistency with the comprehensive plan specifying, the amendments that will be undertaken to bring consistency with the comprehensive plan has been included</w:t>
            </w:r>
          </w:p>
        </w:tc>
        <w:tc>
          <w:tcPr>
            <w:tcW w:w="2087" w:type="dxa"/>
            <w:tcMar>
              <w:top w:w="115" w:type="dxa"/>
              <w:left w:w="115" w:type="dxa"/>
              <w:bottom w:w="115" w:type="dxa"/>
              <w:right w:w="115" w:type="dxa"/>
            </w:tcMar>
            <w:vAlign w:val="center"/>
          </w:tcPr>
          <w:p w:rsidR="00CB38D9" w:rsidRPr="00CB38D9" w:rsidRDefault="00CB38D9" w:rsidP="00CB38D9">
            <w:pPr>
              <w:spacing w:line="259" w:lineRule="auto"/>
              <w:jc w:val="center"/>
              <w:rPr>
                <w:rFonts w:ascii="Arial" w:eastAsia="Calibri" w:hAnsi="Arial" w:cs="Arial"/>
              </w:rPr>
            </w:pPr>
          </w:p>
        </w:tc>
      </w:tr>
    </w:tbl>
    <w:p w:rsidR="00CB38D9" w:rsidRPr="00CB38D9" w:rsidRDefault="00CB38D9" w:rsidP="00CB38D9">
      <w:pPr>
        <w:spacing w:after="0" w:line="240" w:lineRule="auto"/>
        <w:rPr>
          <w:rFonts w:ascii="Times New Roman" w:eastAsia="Calibri" w:hAnsi="Times New Roman" w:cs="Times New Roman"/>
          <w:sz w:val="24"/>
          <w:szCs w:val="24"/>
        </w:rPr>
      </w:pPr>
    </w:p>
    <w:p w:rsidR="00CB38D9" w:rsidRPr="00CB38D9" w:rsidRDefault="00CB38D9" w:rsidP="00CB38D9">
      <w:pPr>
        <w:spacing w:after="0" w:line="240" w:lineRule="auto"/>
        <w:rPr>
          <w:rFonts w:ascii="Times New Roman" w:eastAsia="Calibri" w:hAnsi="Times New Roman" w:cs="Times New Roman"/>
          <w:sz w:val="24"/>
          <w:szCs w:val="24"/>
        </w:rPr>
      </w:pPr>
      <w:r w:rsidRPr="00CB38D9">
        <w:rPr>
          <w:rFonts w:ascii="Times New Roman" w:eastAsia="Calibri" w:hAnsi="Times New Roman" w:cs="Times New Roman"/>
          <w:sz w:val="24"/>
          <w:szCs w:val="24"/>
        </w:rPr>
        <w:t xml:space="preserve">Comments or explanations: </w:t>
      </w:r>
    </w:p>
    <w:p w:rsidR="00CB38D9" w:rsidRPr="00CB38D9" w:rsidRDefault="00CB38D9" w:rsidP="00CB38D9">
      <w:pPr>
        <w:spacing w:after="0" w:line="240" w:lineRule="auto"/>
        <w:rPr>
          <w:rFonts w:ascii="Times New Roman" w:eastAsia="Calibri" w:hAnsi="Times New Roman" w:cs="Times New Roman"/>
          <w:sz w:val="24"/>
          <w:szCs w:val="24"/>
        </w:rPr>
      </w:pPr>
    </w:p>
    <w:p w:rsidR="00483025" w:rsidRDefault="00483025" w:rsidP="00483025">
      <w:pPr>
        <w:spacing w:after="0"/>
        <w:jc w:val="both"/>
        <w:rPr>
          <w:rFonts w:ascii="Times New Roman" w:hAnsi="Times New Roman" w:cs="Times New Roman"/>
          <w:sz w:val="24"/>
        </w:rPr>
      </w:pPr>
    </w:p>
    <w:p w:rsidR="00483025" w:rsidRDefault="00483025" w:rsidP="00483025">
      <w:pPr>
        <w:spacing w:after="0"/>
        <w:jc w:val="both"/>
        <w:rPr>
          <w:rFonts w:ascii="Times New Roman" w:hAnsi="Times New Roman" w:cs="Times New Roman"/>
          <w:sz w:val="24"/>
        </w:rPr>
      </w:pPr>
    </w:p>
    <w:p w:rsidR="00E561CA" w:rsidRDefault="00E561CA" w:rsidP="00E561CA">
      <w:pPr>
        <w:pStyle w:val="Heading2"/>
        <w:spacing w:before="0" w:after="480"/>
      </w:pPr>
      <w:r>
        <w:t>signature</w:t>
      </w:r>
    </w:p>
    <w:p w:rsidR="00E561CA" w:rsidRPr="00E561CA" w:rsidRDefault="00E561CA" w:rsidP="00E561CA">
      <w:pPr>
        <w:tabs>
          <w:tab w:val="right" w:pos="9360"/>
        </w:tabs>
        <w:spacing w:after="480" w:line="240" w:lineRule="auto"/>
        <w:jc w:val="both"/>
        <w:rPr>
          <w:rFonts w:ascii="Times New Roman" w:hAnsi="Times New Roman" w:cs="Times New Roman"/>
          <w:sz w:val="24"/>
          <w:u w:val="single"/>
        </w:rPr>
      </w:pPr>
      <w:r>
        <w:rPr>
          <w:rFonts w:ascii="Arial" w:hAnsi="Arial" w:cs="Arial"/>
        </w:rPr>
        <w:t xml:space="preserve">Printed </w:t>
      </w:r>
      <w:r w:rsidRPr="00D4401F">
        <w:rPr>
          <w:rFonts w:ascii="Arial" w:hAnsi="Arial" w:cs="Arial"/>
        </w:rPr>
        <w:t>Name</w:t>
      </w:r>
      <w:r>
        <w:rPr>
          <w:rFonts w:ascii="Arial" w:hAnsi="Arial" w:cs="Arial"/>
        </w:rPr>
        <w:t xml:space="preserve"> of Authorized Municipal Official</w:t>
      </w:r>
      <w:r w:rsidRPr="00D4401F">
        <w:rPr>
          <w:rFonts w:ascii="Arial" w:hAnsi="Arial" w:cs="Arial"/>
        </w:rPr>
        <w:t>:</w:t>
      </w:r>
      <w:r w:rsidRPr="00E561CA">
        <w:rPr>
          <w:rFonts w:ascii="Times New Roman" w:hAnsi="Times New Roman" w:cs="Times New Roman"/>
          <w:sz w:val="24"/>
        </w:rPr>
        <w:t xml:space="preserve"> </w:t>
      </w:r>
      <w:r w:rsidRPr="00E561CA">
        <w:rPr>
          <w:rFonts w:ascii="Times New Roman" w:hAnsi="Times New Roman" w:cs="Times New Roman"/>
          <w:sz w:val="24"/>
          <w:u w:val="single"/>
        </w:rPr>
        <w:tab/>
      </w:r>
    </w:p>
    <w:p w:rsidR="00E561CA" w:rsidRPr="00E561CA" w:rsidRDefault="00E561CA" w:rsidP="00E561CA">
      <w:pPr>
        <w:tabs>
          <w:tab w:val="right" w:pos="9360"/>
        </w:tabs>
        <w:spacing w:after="480" w:line="240" w:lineRule="auto"/>
        <w:jc w:val="both"/>
        <w:rPr>
          <w:rFonts w:ascii="Times New Roman" w:hAnsi="Times New Roman" w:cs="Times New Roman"/>
          <w:sz w:val="24"/>
        </w:rPr>
      </w:pPr>
      <w:r w:rsidRPr="00D4401F">
        <w:rPr>
          <w:rFonts w:ascii="Arial" w:hAnsi="Arial" w:cs="Arial"/>
        </w:rPr>
        <w:t>Title:</w:t>
      </w:r>
      <w:r w:rsidRPr="00E561CA">
        <w:rPr>
          <w:rFonts w:ascii="Times New Roman" w:hAnsi="Times New Roman" w:cs="Times New Roman"/>
          <w:sz w:val="24"/>
        </w:rPr>
        <w:t xml:space="preserve"> </w:t>
      </w:r>
      <w:r w:rsidRPr="00E561CA">
        <w:rPr>
          <w:rFonts w:ascii="Times New Roman" w:hAnsi="Times New Roman" w:cs="Times New Roman"/>
          <w:sz w:val="24"/>
          <w:u w:val="single"/>
        </w:rPr>
        <w:tab/>
      </w:r>
    </w:p>
    <w:p w:rsidR="00E561CA" w:rsidRPr="00E561CA" w:rsidRDefault="00E561CA" w:rsidP="00E561CA">
      <w:pPr>
        <w:tabs>
          <w:tab w:val="right" w:pos="9360"/>
        </w:tabs>
        <w:spacing w:after="480" w:line="240" w:lineRule="auto"/>
        <w:jc w:val="both"/>
        <w:rPr>
          <w:rFonts w:ascii="Times New Roman" w:hAnsi="Times New Roman" w:cs="Times New Roman"/>
          <w:sz w:val="24"/>
          <w:u w:val="single"/>
        </w:rPr>
      </w:pPr>
      <w:r w:rsidRPr="00D4401F">
        <w:rPr>
          <w:rFonts w:ascii="Arial" w:hAnsi="Arial" w:cs="Arial"/>
        </w:rPr>
        <w:t>Signature:</w:t>
      </w:r>
      <w:r w:rsidRPr="00E561CA">
        <w:rPr>
          <w:rFonts w:ascii="Times New Roman" w:hAnsi="Times New Roman" w:cs="Times New Roman"/>
          <w:sz w:val="24"/>
          <w:u w:val="single"/>
        </w:rPr>
        <w:t xml:space="preserve"> </w:t>
      </w:r>
      <w:r w:rsidRPr="00E561CA">
        <w:rPr>
          <w:rFonts w:ascii="Times New Roman" w:hAnsi="Times New Roman" w:cs="Times New Roman"/>
          <w:sz w:val="24"/>
          <w:u w:val="single"/>
        </w:rPr>
        <w:tab/>
      </w:r>
    </w:p>
    <w:p w:rsidR="00E561CA" w:rsidRDefault="00E561CA" w:rsidP="00035552">
      <w:pPr>
        <w:tabs>
          <w:tab w:val="left" w:pos="4320"/>
          <w:tab w:val="right" w:pos="9270"/>
        </w:tabs>
        <w:spacing w:after="0"/>
        <w:jc w:val="both"/>
        <w:rPr>
          <w:rFonts w:ascii="Times New Roman" w:hAnsi="Times New Roman" w:cs="Times New Roman"/>
          <w:sz w:val="24"/>
          <w:u w:val="single"/>
        </w:rPr>
      </w:pPr>
      <w:r w:rsidRPr="00D4401F">
        <w:rPr>
          <w:rFonts w:ascii="Arial" w:hAnsi="Arial" w:cs="Arial"/>
        </w:rPr>
        <w:t>Date:</w:t>
      </w:r>
      <w:r w:rsidRPr="00E561CA">
        <w:rPr>
          <w:rFonts w:ascii="Times New Roman" w:hAnsi="Times New Roman" w:cs="Times New Roman"/>
          <w:sz w:val="24"/>
          <w:u w:val="single"/>
        </w:rPr>
        <w:t xml:space="preserve"> </w:t>
      </w:r>
      <w:r w:rsidRPr="00E561CA">
        <w:rPr>
          <w:rFonts w:ascii="Times New Roman" w:hAnsi="Times New Roman" w:cs="Times New Roman"/>
          <w:sz w:val="24"/>
          <w:u w:val="single"/>
        </w:rPr>
        <w:tab/>
      </w:r>
    </w:p>
    <w:p w:rsidR="00035552" w:rsidRDefault="00035552" w:rsidP="00035552">
      <w:pPr>
        <w:tabs>
          <w:tab w:val="left" w:pos="4320"/>
          <w:tab w:val="right" w:pos="9270"/>
        </w:tabs>
        <w:spacing w:after="0"/>
        <w:jc w:val="both"/>
        <w:rPr>
          <w:rFonts w:ascii="Times New Roman" w:hAnsi="Times New Roman" w:cs="Times New Roman"/>
          <w:sz w:val="24"/>
          <w:u w:val="single"/>
        </w:rPr>
      </w:pPr>
    </w:p>
    <w:p w:rsidR="00035552" w:rsidRDefault="00035552" w:rsidP="00035552">
      <w:pPr>
        <w:pStyle w:val="Heading2"/>
        <w:spacing w:before="0" w:after="240"/>
      </w:pPr>
      <w:r>
        <w:t>submit form to:</w:t>
      </w:r>
    </w:p>
    <w:p w:rsidR="00035552" w:rsidRDefault="00035552" w:rsidP="00035552">
      <w:pPr>
        <w:tabs>
          <w:tab w:val="left" w:pos="4320"/>
          <w:tab w:val="right" w:pos="9270"/>
        </w:tabs>
        <w:spacing w:after="0"/>
        <w:jc w:val="both"/>
        <w:rPr>
          <w:rFonts w:ascii="Times New Roman" w:hAnsi="Times New Roman" w:cs="Times New Roman"/>
          <w:sz w:val="24"/>
        </w:rPr>
      </w:pPr>
      <w:r>
        <w:rPr>
          <w:rFonts w:ascii="Times New Roman" w:hAnsi="Times New Roman" w:cs="Times New Roman"/>
          <w:sz w:val="24"/>
        </w:rPr>
        <w:t xml:space="preserve">RI Division of </w:t>
      </w:r>
      <w:r w:rsidR="001B6353">
        <w:rPr>
          <w:rFonts w:ascii="Times New Roman" w:hAnsi="Times New Roman" w:cs="Times New Roman"/>
          <w:sz w:val="24"/>
        </w:rPr>
        <w:t xml:space="preserve">Statewide </w:t>
      </w:r>
      <w:r>
        <w:rPr>
          <w:rFonts w:ascii="Times New Roman" w:hAnsi="Times New Roman" w:cs="Times New Roman"/>
          <w:sz w:val="24"/>
        </w:rPr>
        <w:t>Planning</w:t>
      </w:r>
    </w:p>
    <w:p w:rsidR="00035552" w:rsidRDefault="00035552" w:rsidP="00035552">
      <w:pPr>
        <w:tabs>
          <w:tab w:val="left" w:pos="4320"/>
          <w:tab w:val="right" w:pos="9270"/>
        </w:tabs>
        <w:spacing w:after="0"/>
        <w:jc w:val="both"/>
        <w:rPr>
          <w:rFonts w:ascii="Times New Roman" w:hAnsi="Times New Roman" w:cs="Times New Roman"/>
          <w:sz w:val="24"/>
        </w:rPr>
      </w:pPr>
      <w:r>
        <w:rPr>
          <w:rFonts w:ascii="Times New Roman" w:hAnsi="Times New Roman" w:cs="Times New Roman"/>
          <w:sz w:val="24"/>
        </w:rPr>
        <w:t xml:space="preserve">Supervising Planner, </w:t>
      </w:r>
      <w:r w:rsidR="00483025">
        <w:rPr>
          <w:rFonts w:ascii="Times New Roman" w:hAnsi="Times New Roman" w:cs="Times New Roman"/>
          <w:sz w:val="24"/>
        </w:rPr>
        <w:t xml:space="preserve">Community Outreach </w:t>
      </w:r>
      <w:r>
        <w:rPr>
          <w:rFonts w:ascii="Times New Roman" w:hAnsi="Times New Roman" w:cs="Times New Roman"/>
          <w:sz w:val="24"/>
        </w:rPr>
        <w:t>Unit</w:t>
      </w:r>
    </w:p>
    <w:p w:rsidR="00035552" w:rsidRDefault="009779B7" w:rsidP="00035552">
      <w:pPr>
        <w:tabs>
          <w:tab w:val="left" w:pos="4320"/>
          <w:tab w:val="right" w:pos="9270"/>
        </w:tabs>
        <w:spacing w:after="0"/>
        <w:jc w:val="both"/>
        <w:rPr>
          <w:rFonts w:ascii="Times New Roman" w:hAnsi="Times New Roman" w:cs="Times New Roman"/>
          <w:sz w:val="24"/>
        </w:rPr>
      </w:pPr>
      <w:r>
        <w:rPr>
          <w:rFonts w:ascii="Times New Roman" w:hAnsi="Times New Roman" w:cs="Times New Roman"/>
          <w:sz w:val="24"/>
        </w:rPr>
        <w:t>235 Promenade Street – Suite 23</w:t>
      </w:r>
      <w:r w:rsidR="00483025">
        <w:rPr>
          <w:rFonts w:ascii="Times New Roman" w:hAnsi="Times New Roman" w:cs="Times New Roman"/>
          <w:sz w:val="24"/>
        </w:rPr>
        <w:t>0</w:t>
      </w:r>
    </w:p>
    <w:p w:rsidR="00035552" w:rsidRDefault="00035552" w:rsidP="00035552">
      <w:pPr>
        <w:tabs>
          <w:tab w:val="left" w:pos="4320"/>
          <w:tab w:val="right" w:pos="9270"/>
        </w:tabs>
        <w:spacing w:after="0" w:line="240" w:lineRule="auto"/>
        <w:jc w:val="both"/>
        <w:rPr>
          <w:rFonts w:ascii="Times New Roman" w:hAnsi="Times New Roman" w:cs="Times New Roman"/>
          <w:sz w:val="24"/>
        </w:rPr>
      </w:pPr>
      <w:r>
        <w:rPr>
          <w:rFonts w:ascii="Times New Roman" w:hAnsi="Times New Roman" w:cs="Times New Roman"/>
          <w:sz w:val="24"/>
        </w:rPr>
        <w:t>Providence, RI  02908</w:t>
      </w:r>
    </w:p>
    <w:sectPr w:rsidR="00035552" w:rsidSect="00CB38D9">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CAB" w:rsidRDefault="00021CAB" w:rsidP="003434D9">
      <w:pPr>
        <w:spacing w:after="0" w:line="240" w:lineRule="auto"/>
      </w:pPr>
      <w:r>
        <w:separator/>
      </w:r>
    </w:p>
  </w:endnote>
  <w:endnote w:type="continuationSeparator" w:id="0">
    <w:p w:rsidR="00021CAB" w:rsidRDefault="00021CAB" w:rsidP="0034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65188"/>
      <w:docPartObj>
        <w:docPartGallery w:val="Page Numbers (Bottom of Page)"/>
        <w:docPartUnique/>
      </w:docPartObj>
    </w:sdtPr>
    <w:sdtEndPr>
      <w:rPr>
        <w:noProof/>
      </w:rPr>
    </w:sdtEndPr>
    <w:sdtContent>
      <w:p w:rsidR="00137F37" w:rsidRDefault="00CB38D9" w:rsidP="00CF4E82">
        <w:pPr>
          <w:pStyle w:val="Footer"/>
          <w:tabs>
            <w:tab w:val="clear" w:pos="4680"/>
          </w:tabs>
        </w:pPr>
        <w:r>
          <w:fldChar w:fldCharType="begin"/>
        </w:r>
        <w:r>
          <w:instrText xml:space="preserve"> PAGE   \* MERGEFORMAT </w:instrText>
        </w:r>
        <w:r>
          <w:fldChar w:fldCharType="separate"/>
        </w:r>
        <w:r>
          <w:rPr>
            <w:noProof/>
          </w:rPr>
          <w:t>2</w:t>
        </w:r>
        <w:r>
          <w:rPr>
            <w:noProof/>
          </w:rPr>
          <w:fldChar w:fldCharType="end"/>
        </w:r>
        <w:r w:rsidR="00CF4E82">
          <w:rPr>
            <w:noProof/>
          </w:rPr>
          <w:tab/>
          <w:t>Rev. Mar.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91" w:rsidRDefault="00DD5791" w:rsidP="00DD5791">
    <w:pPr>
      <w:pStyle w:val="Footer"/>
      <w:tabs>
        <w:tab w:val="clear" w:pos="4680"/>
      </w:tabs>
    </w:pPr>
    <w:r>
      <w:t>1</w:t>
    </w:r>
    <w:r>
      <w:tab/>
    </w:r>
    <w:bookmarkStart w:id="16" w:name="_Hlk67655759"/>
    <w:r w:rsidR="00295377">
      <w:t>Rev. March</w:t>
    </w:r>
    <w:r w:rsidR="0058557A">
      <w:t xml:space="preserve"> 20</w:t>
    </w:r>
    <w:r w:rsidR="00295377">
      <w:t>21</w:t>
    </w:r>
    <w:bookmarkEnd w:id="16"/>
  </w:p>
  <w:p w:rsidR="00DD5791" w:rsidRDefault="00DD5791" w:rsidP="00DD5791">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CAB" w:rsidRDefault="00021CAB" w:rsidP="003434D9">
      <w:pPr>
        <w:spacing w:after="0" w:line="240" w:lineRule="auto"/>
      </w:pPr>
      <w:r>
        <w:separator/>
      </w:r>
    </w:p>
  </w:footnote>
  <w:footnote w:type="continuationSeparator" w:id="0">
    <w:p w:rsidR="00021CAB" w:rsidRDefault="00021CAB" w:rsidP="0034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F81"/>
    <w:multiLevelType w:val="hybridMultilevel"/>
    <w:tmpl w:val="5DA6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6465E"/>
    <w:multiLevelType w:val="hybridMultilevel"/>
    <w:tmpl w:val="A058C8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67C0D"/>
    <w:multiLevelType w:val="hybridMultilevel"/>
    <w:tmpl w:val="292AA49C"/>
    <w:lvl w:ilvl="0" w:tplc="F574FA4E">
      <w:start w:val="1"/>
      <w:numFmt w:val="bullet"/>
      <w:lvlText w:val=""/>
      <w:lvlJc w:val="left"/>
      <w:pPr>
        <w:ind w:left="1080" w:hanging="360"/>
      </w:pPr>
      <w:rPr>
        <w:rFonts w:ascii="Wingdings" w:eastAsiaTheme="minorHAnsi" w:hAnsi="Wingdings" w:cs="Arial"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C419F1"/>
    <w:multiLevelType w:val="hybridMultilevel"/>
    <w:tmpl w:val="AB1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E3721"/>
    <w:multiLevelType w:val="hybridMultilevel"/>
    <w:tmpl w:val="43A2298E"/>
    <w:lvl w:ilvl="0" w:tplc="D0C4A438">
      <w:start w:val="1"/>
      <w:numFmt w:val="decimal"/>
      <w:lvlText w:val="%1."/>
      <w:lvlJc w:val="righ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DD20FF0"/>
    <w:multiLevelType w:val="hybridMultilevel"/>
    <w:tmpl w:val="00F4D65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E0DC5"/>
    <w:multiLevelType w:val="hybridMultilevel"/>
    <w:tmpl w:val="B3A42346"/>
    <w:lvl w:ilvl="0" w:tplc="895ACA08">
      <w:start w:val="1"/>
      <w:numFmt w:val="bullet"/>
      <w:lvlText w:val="□"/>
      <w:lvlJc w:val="left"/>
      <w:pPr>
        <w:ind w:left="360" w:hanging="360"/>
      </w:pPr>
      <w:rPr>
        <w:rFonts w:ascii="Times New Roman" w:hAnsi="Times New Roman" w:cs="Times New Roman"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CD4518"/>
    <w:multiLevelType w:val="hybridMultilevel"/>
    <w:tmpl w:val="D2268FCA"/>
    <w:lvl w:ilvl="0" w:tplc="0409000D">
      <w:start w:val="1"/>
      <w:numFmt w:val="bullet"/>
      <w:lvlText w:val=""/>
      <w:lvlJc w:val="left"/>
      <w:pPr>
        <w:ind w:left="720" w:hanging="360"/>
      </w:pPr>
      <w:rPr>
        <w:rFonts w:ascii="Wingdings" w:hAnsi="Wingdings" w:hint="default"/>
      </w:rPr>
    </w:lvl>
    <w:lvl w:ilvl="1" w:tplc="E26C0CCC">
      <w:numFmt w:val="bullet"/>
      <w:lvlText w:val=""/>
      <w:lvlJc w:val="left"/>
      <w:pPr>
        <w:ind w:left="1800" w:hanging="720"/>
      </w:pPr>
      <w:rPr>
        <w:rFonts w:ascii="Wingdings" w:eastAsiaTheme="minorHAnsi" w:hAnsi="Wingdings" w:cs="Aria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90F68"/>
    <w:multiLevelType w:val="hybridMultilevel"/>
    <w:tmpl w:val="B644DF4A"/>
    <w:lvl w:ilvl="0" w:tplc="F0B4D04E">
      <w:start w:val="1"/>
      <w:numFmt w:val="bullet"/>
      <w:lvlText w:val=""/>
      <w:lvlJc w:val="left"/>
      <w:pPr>
        <w:ind w:left="1080" w:hanging="360"/>
      </w:pPr>
      <w:rPr>
        <w:rFonts w:ascii="Wingdings" w:eastAsiaTheme="minorHAnsi" w:hAnsi="Wingdings"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A0222A"/>
    <w:multiLevelType w:val="hybridMultilevel"/>
    <w:tmpl w:val="43A2298E"/>
    <w:lvl w:ilvl="0" w:tplc="D0C4A438">
      <w:start w:val="1"/>
      <w:numFmt w:val="decimal"/>
      <w:lvlText w:val="%1."/>
      <w:lvlJc w:val="righ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9"/>
  </w:num>
  <w:num w:numId="3">
    <w:abstractNumId w:val="8"/>
  </w:num>
  <w:num w:numId="4">
    <w:abstractNumId w:val="2"/>
  </w:num>
  <w:num w:numId="5">
    <w:abstractNumId w:val="0"/>
  </w:num>
  <w:num w:numId="6">
    <w:abstractNumId w:val="7"/>
  </w:num>
  <w:num w:numId="7">
    <w:abstractNumId w:val="1"/>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12"/>
    <w:rsid w:val="0000102E"/>
    <w:rsid w:val="00021CAB"/>
    <w:rsid w:val="00035552"/>
    <w:rsid w:val="000426D9"/>
    <w:rsid w:val="000A2016"/>
    <w:rsid w:val="00137F37"/>
    <w:rsid w:val="001456A6"/>
    <w:rsid w:val="00164ED4"/>
    <w:rsid w:val="00170849"/>
    <w:rsid w:val="001B6353"/>
    <w:rsid w:val="001C1FC6"/>
    <w:rsid w:val="00295377"/>
    <w:rsid w:val="00312F2C"/>
    <w:rsid w:val="00317A53"/>
    <w:rsid w:val="00324B63"/>
    <w:rsid w:val="003434D9"/>
    <w:rsid w:val="003615D0"/>
    <w:rsid w:val="0038000E"/>
    <w:rsid w:val="003A6A89"/>
    <w:rsid w:val="003E7D53"/>
    <w:rsid w:val="00442F84"/>
    <w:rsid w:val="0047257F"/>
    <w:rsid w:val="00483025"/>
    <w:rsid w:val="004B27D5"/>
    <w:rsid w:val="00557E3B"/>
    <w:rsid w:val="005666C3"/>
    <w:rsid w:val="0058557A"/>
    <w:rsid w:val="00594A42"/>
    <w:rsid w:val="006C591F"/>
    <w:rsid w:val="006E3EA2"/>
    <w:rsid w:val="0075511E"/>
    <w:rsid w:val="00766A3F"/>
    <w:rsid w:val="007A5C8E"/>
    <w:rsid w:val="007E1BA5"/>
    <w:rsid w:val="00895305"/>
    <w:rsid w:val="00925765"/>
    <w:rsid w:val="00952F0B"/>
    <w:rsid w:val="009779B7"/>
    <w:rsid w:val="00991412"/>
    <w:rsid w:val="00992843"/>
    <w:rsid w:val="009A4C5D"/>
    <w:rsid w:val="009B45D3"/>
    <w:rsid w:val="009D4DAA"/>
    <w:rsid w:val="00AD260A"/>
    <w:rsid w:val="00AE1D37"/>
    <w:rsid w:val="00B0022B"/>
    <w:rsid w:val="00B46C61"/>
    <w:rsid w:val="00B50C58"/>
    <w:rsid w:val="00B607E3"/>
    <w:rsid w:val="00B71442"/>
    <w:rsid w:val="00B84197"/>
    <w:rsid w:val="00C75F0E"/>
    <w:rsid w:val="00C918E6"/>
    <w:rsid w:val="00C92DEC"/>
    <w:rsid w:val="00CB2BE4"/>
    <w:rsid w:val="00CB38D9"/>
    <w:rsid w:val="00CB6F95"/>
    <w:rsid w:val="00CD4877"/>
    <w:rsid w:val="00CE1F8F"/>
    <w:rsid w:val="00CF4E82"/>
    <w:rsid w:val="00D47B24"/>
    <w:rsid w:val="00D61F6F"/>
    <w:rsid w:val="00D72C56"/>
    <w:rsid w:val="00DD5791"/>
    <w:rsid w:val="00DD7387"/>
    <w:rsid w:val="00E35B0D"/>
    <w:rsid w:val="00E452EB"/>
    <w:rsid w:val="00E452F6"/>
    <w:rsid w:val="00E561CA"/>
    <w:rsid w:val="00E56C20"/>
    <w:rsid w:val="00E80EC4"/>
    <w:rsid w:val="00E81413"/>
    <w:rsid w:val="00EA4909"/>
    <w:rsid w:val="00F02747"/>
    <w:rsid w:val="00F50774"/>
    <w:rsid w:val="00F71B18"/>
    <w:rsid w:val="00FE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237786-CF90-41E9-BD0E-0EA8E16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412"/>
  </w:style>
  <w:style w:type="paragraph" w:styleId="Heading2">
    <w:name w:val="heading 2"/>
    <w:basedOn w:val="Normal"/>
    <w:next w:val="Normal"/>
    <w:link w:val="Heading2Char"/>
    <w:uiPriority w:val="9"/>
    <w:unhideWhenUsed/>
    <w:qFormat/>
    <w:rsid w:val="00991412"/>
    <w:pPr>
      <w:pBdr>
        <w:bottom w:val="single" w:sz="24" w:space="0" w:color="548DD4"/>
      </w:pBdr>
      <w:spacing w:before="600" w:after="0"/>
      <w:outlineLvl w:val="1"/>
    </w:pPr>
    <w:rPr>
      <w:rFonts w:ascii="Calibri" w:eastAsia="Times New Roman" w:hAnsi="Calibri" w:cs="Times New Roman"/>
      <w:b/>
      <w:caps/>
      <w:color w:val="000000"/>
      <w:spacing w:val="1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412"/>
    <w:rPr>
      <w:rFonts w:ascii="Calibri" w:eastAsia="Times New Roman" w:hAnsi="Calibri" w:cs="Times New Roman"/>
      <w:b/>
      <w:caps/>
      <w:color w:val="000000"/>
      <w:spacing w:val="15"/>
      <w:sz w:val="28"/>
    </w:rPr>
  </w:style>
  <w:style w:type="paragraph" w:styleId="ListParagraph">
    <w:name w:val="List Paragraph"/>
    <w:basedOn w:val="Normal"/>
    <w:uiPriority w:val="34"/>
    <w:qFormat/>
    <w:rsid w:val="00E452EB"/>
    <w:pPr>
      <w:ind w:left="720"/>
      <w:contextualSpacing/>
    </w:pPr>
  </w:style>
  <w:style w:type="paragraph" w:styleId="Header">
    <w:name w:val="header"/>
    <w:basedOn w:val="Normal"/>
    <w:link w:val="HeaderChar"/>
    <w:uiPriority w:val="99"/>
    <w:unhideWhenUsed/>
    <w:rsid w:val="00343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D9"/>
  </w:style>
  <w:style w:type="paragraph" w:styleId="Footer">
    <w:name w:val="footer"/>
    <w:basedOn w:val="Normal"/>
    <w:link w:val="FooterChar"/>
    <w:uiPriority w:val="99"/>
    <w:unhideWhenUsed/>
    <w:rsid w:val="00343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D9"/>
  </w:style>
  <w:style w:type="paragraph" w:styleId="BalloonText">
    <w:name w:val="Balloon Text"/>
    <w:basedOn w:val="Normal"/>
    <w:link w:val="BalloonTextChar"/>
    <w:uiPriority w:val="99"/>
    <w:semiHidden/>
    <w:unhideWhenUsed/>
    <w:rsid w:val="00D72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56"/>
    <w:rPr>
      <w:rFonts w:ascii="Tahoma" w:hAnsi="Tahoma" w:cs="Tahoma"/>
      <w:sz w:val="16"/>
      <w:szCs w:val="16"/>
    </w:rPr>
  </w:style>
  <w:style w:type="table" w:customStyle="1" w:styleId="TableGrid1">
    <w:name w:val="Table Grid1"/>
    <w:basedOn w:val="TableNormal"/>
    <w:next w:val="TableGrid"/>
    <w:uiPriority w:val="39"/>
    <w:rsid w:val="00CB38D9"/>
    <w:pPr>
      <w:spacing w:after="0" w:line="240" w:lineRule="auto"/>
    </w:pPr>
    <w:rPr>
      <w:rFonts w:ascii="Book Antiqua" w:hAnsi="Book Antiqu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197"/>
    <w:rPr>
      <w:color w:val="0000FF" w:themeColor="hyperlink"/>
      <w:u w:val="single"/>
    </w:rPr>
  </w:style>
  <w:style w:type="character" w:styleId="UnresolvedMention">
    <w:name w:val="Unresolved Mention"/>
    <w:basedOn w:val="DefaultParagraphFont"/>
    <w:uiPriority w:val="99"/>
    <w:semiHidden/>
    <w:unhideWhenUsed/>
    <w:rsid w:val="00B8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ri.gov/documents/comp_handbook/0_Standards%20Revised%20Jun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5E2F-05CF-4151-BC82-0330AD6A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Greeley, Caitlin</dc:creator>
  <cp:lastModifiedBy>Nelson, Kevin (DOA)</cp:lastModifiedBy>
  <cp:revision>2</cp:revision>
  <cp:lastPrinted>2014-09-18T15:17:00Z</cp:lastPrinted>
  <dcterms:created xsi:type="dcterms:W3CDTF">2021-03-26T19:08:00Z</dcterms:created>
  <dcterms:modified xsi:type="dcterms:W3CDTF">2021-03-26T19:08:00Z</dcterms:modified>
</cp:coreProperties>
</file>